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50" w:line="400" w:lineRule="exact"/>
        <w:jc w:val="left"/>
        <w:rPr>
          <w:rFonts w:ascii="方正小标宋简体" w:hAnsi="方正小标宋简体" w:eastAsia="方正小标宋简体" w:cs="方正小标宋简体"/>
          <w:kern w:val="0"/>
          <w:sz w:val="40"/>
          <w:szCs w:val="40"/>
        </w:rPr>
      </w:pPr>
      <w:bookmarkStart w:id="0" w:name="_GoBack"/>
      <w:r>
        <w:rPr>
          <w:rFonts w:hint="eastAsia" w:ascii="方正小标宋简体" w:hAnsi="方正小标宋简体" w:eastAsia="方正小标宋简体" w:cs="方正小标宋简体"/>
          <w:kern w:val="0"/>
          <w:sz w:val="40"/>
          <w:szCs w:val="40"/>
          <w:lang w:eastAsia="zh-CN"/>
        </w:rPr>
        <w:t>二、</w:t>
      </w:r>
      <w:r>
        <w:rPr>
          <w:rFonts w:hint="eastAsia" w:ascii="方正小标宋简体" w:hAnsi="方正小标宋简体" w:eastAsia="方正小标宋简体" w:cs="方正小标宋简体"/>
          <w:kern w:val="0"/>
          <w:sz w:val="40"/>
          <w:szCs w:val="40"/>
        </w:rPr>
        <w:t>全省人社系统先进</w:t>
      </w:r>
      <w:r>
        <w:rPr>
          <w:rFonts w:hint="eastAsia" w:ascii="方正小标宋简体" w:hAnsi="方正小标宋简体" w:eastAsia="方正小标宋简体" w:cs="方正小标宋简体"/>
          <w:kern w:val="0"/>
          <w:sz w:val="40"/>
          <w:szCs w:val="40"/>
          <w:lang w:eastAsia="zh-CN"/>
        </w:rPr>
        <w:t>工作者</w:t>
      </w:r>
      <w:r>
        <w:rPr>
          <w:rFonts w:hint="eastAsia" w:ascii="方正小标宋简体" w:hAnsi="方正小标宋简体" w:eastAsia="方正小标宋简体" w:cs="方正小标宋简体"/>
          <w:kern w:val="0"/>
          <w:sz w:val="40"/>
          <w:szCs w:val="40"/>
        </w:rPr>
        <w:t>推荐对象先进事迹和获奖情况汇总表</w:t>
      </w:r>
    </w:p>
    <w:bookmarkEnd w:id="0"/>
    <w:tbl>
      <w:tblPr>
        <w:tblStyle w:val="11"/>
        <w:tblpPr w:leftFromText="180" w:rightFromText="180" w:vertAnchor="text" w:horzAnchor="margin" w:tblpXSpec="center" w:tblpY="197"/>
        <w:tblOverlap w:val="never"/>
        <w:tblW w:w="133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939"/>
        <w:gridCol w:w="939"/>
        <w:gridCol w:w="939"/>
        <w:gridCol w:w="816"/>
        <w:gridCol w:w="885"/>
        <w:gridCol w:w="6066"/>
        <w:gridCol w:w="1470"/>
        <w:gridCol w:w="7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587" w:type="dxa"/>
            <w:vAlign w:val="center"/>
          </w:tcPr>
          <w:p>
            <w:pPr>
              <w:tabs>
                <w:tab w:val="left" w:pos="8085"/>
              </w:tabs>
              <w:spacing w:line="300" w:lineRule="exact"/>
              <w:jc w:val="center"/>
              <w:rPr>
                <w:rFonts w:ascii="黑体" w:hAnsi="黑体" w:eastAsia="黑体" w:cs="黑体"/>
                <w:bCs/>
                <w:sz w:val="24"/>
                <w:szCs w:val="21"/>
              </w:rPr>
            </w:pPr>
            <w:r>
              <w:rPr>
                <w:rFonts w:hint="eastAsia" w:ascii="黑体" w:hAnsi="黑体" w:eastAsia="黑体" w:cs="黑体"/>
                <w:bCs/>
                <w:sz w:val="24"/>
                <w:szCs w:val="21"/>
              </w:rPr>
              <w:t>序号</w:t>
            </w:r>
          </w:p>
        </w:tc>
        <w:tc>
          <w:tcPr>
            <w:tcW w:w="939" w:type="dxa"/>
            <w:vAlign w:val="center"/>
          </w:tcPr>
          <w:p>
            <w:pPr>
              <w:tabs>
                <w:tab w:val="left" w:pos="8085"/>
              </w:tabs>
              <w:spacing w:line="300" w:lineRule="exact"/>
              <w:jc w:val="center"/>
              <w:rPr>
                <w:rFonts w:hint="eastAsia" w:ascii="黑体" w:hAnsi="黑体" w:eastAsia="黑体" w:cs="黑体"/>
                <w:bCs/>
                <w:sz w:val="24"/>
                <w:szCs w:val="21"/>
                <w:lang w:eastAsia="zh-CN"/>
              </w:rPr>
            </w:pPr>
            <w:r>
              <w:rPr>
                <w:rFonts w:hint="eastAsia" w:ascii="黑体" w:hAnsi="黑体" w:eastAsia="黑体" w:cs="黑体"/>
                <w:bCs/>
                <w:sz w:val="24"/>
                <w:szCs w:val="21"/>
                <w:lang w:eastAsia="zh-CN"/>
              </w:rPr>
              <w:t>推荐</w:t>
            </w:r>
          </w:p>
          <w:p>
            <w:pPr>
              <w:tabs>
                <w:tab w:val="left" w:pos="8085"/>
              </w:tabs>
              <w:spacing w:line="300" w:lineRule="exact"/>
              <w:jc w:val="center"/>
              <w:rPr>
                <w:rFonts w:hint="eastAsia" w:ascii="黑体" w:hAnsi="黑体" w:eastAsia="黑体" w:cs="黑体"/>
                <w:bCs/>
                <w:sz w:val="24"/>
                <w:szCs w:val="21"/>
                <w:lang w:eastAsia="zh-CN"/>
              </w:rPr>
            </w:pPr>
            <w:r>
              <w:rPr>
                <w:rFonts w:hint="eastAsia" w:ascii="黑体" w:hAnsi="黑体" w:eastAsia="黑体" w:cs="黑体"/>
                <w:bCs/>
                <w:sz w:val="24"/>
                <w:szCs w:val="21"/>
                <w:lang w:eastAsia="zh-CN"/>
              </w:rPr>
              <w:t>单位</w:t>
            </w:r>
          </w:p>
        </w:tc>
        <w:tc>
          <w:tcPr>
            <w:tcW w:w="939" w:type="dxa"/>
            <w:vAlign w:val="center"/>
          </w:tcPr>
          <w:p>
            <w:pPr>
              <w:tabs>
                <w:tab w:val="left" w:pos="8085"/>
              </w:tabs>
              <w:spacing w:line="300" w:lineRule="exact"/>
              <w:jc w:val="center"/>
              <w:rPr>
                <w:rFonts w:hint="eastAsia" w:ascii="黑体" w:hAnsi="黑体" w:eastAsia="黑体" w:cs="黑体"/>
                <w:bCs/>
                <w:sz w:val="24"/>
                <w:szCs w:val="21"/>
                <w:lang w:eastAsia="zh-CN"/>
              </w:rPr>
            </w:pPr>
            <w:r>
              <w:rPr>
                <w:rFonts w:hint="eastAsia" w:ascii="黑体" w:hAnsi="黑体" w:eastAsia="黑体" w:cs="黑体"/>
                <w:bCs/>
                <w:sz w:val="24"/>
                <w:szCs w:val="21"/>
                <w:lang w:eastAsia="zh-CN"/>
              </w:rPr>
              <w:t>工作</w:t>
            </w:r>
          </w:p>
          <w:p>
            <w:pPr>
              <w:tabs>
                <w:tab w:val="left" w:pos="8085"/>
              </w:tabs>
              <w:spacing w:line="300" w:lineRule="exact"/>
              <w:jc w:val="center"/>
              <w:rPr>
                <w:rFonts w:hint="eastAsia" w:ascii="黑体" w:hAnsi="黑体" w:eastAsia="黑体" w:cs="黑体"/>
                <w:bCs/>
                <w:sz w:val="24"/>
                <w:szCs w:val="21"/>
                <w:lang w:eastAsia="zh-CN"/>
              </w:rPr>
            </w:pPr>
            <w:r>
              <w:rPr>
                <w:rFonts w:hint="eastAsia" w:ascii="黑体" w:hAnsi="黑体" w:eastAsia="黑体" w:cs="黑体"/>
                <w:bCs/>
                <w:sz w:val="24"/>
                <w:szCs w:val="21"/>
                <w:lang w:eastAsia="zh-CN"/>
              </w:rPr>
              <w:t>单位</w:t>
            </w:r>
          </w:p>
        </w:tc>
        <w:tc>
          <w:tcPr>
            <w:tcW w:w="939" w:type="dxa"/>
            <w:vAlign w:val="center"/>
          </w:tcPr>
          <w:p>
            <w:pPr>
              <w:tabs>
                <w:tab w:val="left" w:pos="8085"/>
              </w:tabs>
              <w:spacing w:line="300" w:lineRule="exact"/>
              <w:jc w:val="center"/>
              <w:rPr>
                <w:rFonts w:ascii="黑体" w:hAnsi="黑体" w:eastAsia="黑体" w:cs="黑体"/>
                <w:bCs/>
                <w:sz w:val="24"/>
                <w:szCs w:val="21"/>
              </w:rPr>
            </w:pPr>
            <w:r>
              <w:rPr>
                <w:rFonts w:hint="eastAsia" w:ascii="黑体" w:hAnsi="黑体" w:eastAsia="黑体" w:cs="黑体"/>
                <w:bCs/>
                <w:sz w:val="24"/>
                <w:szCs w:val="21"/>
              </w:rPr>
              <w:t>姓名</w:t>
            </w:r>
          </w:p>
        </w:tc>
        <w:tc>
          <w:tcPr>
            <w:tcW w:w="816" w:type="dxa"/>
            <w:vAlign w:val="center"/>
          </w:tcPr>
          <w:p>
            <w:pPr>
              <w:tabs>
                <w:tab w:val="left" w:pos="8085"/>
              </w:tabs>
              <w:spacing w:line="300" w:lineRule="exact"/>
              <w:jc w:val="center"/>
              <w:rPr>
                <w:rFonts w:hint="eastAsia" w:ascii="黑体" w:hAnsi="黑体" w:eastAsia="黑体" w:cs="黑体"/>
                <w:bCs/>
                <w:sz w:val="24"/>
                <w:szCs w:val="21"/>
              </w:rPr>
            </w:pPr>
            <w:r>
              <w:rPr>
                <w:rFonts w:hint="eastAsia" w:ascii="黑体" w:hAnsi="黑体" w:eastAsia="黑体" w:cs="黑体"/>
                <w:bCs/>
                <w:sz w:val="24"/>
                <w:szCs w:val="21"/>
              </w:rPr>
              <w:t>单位</w:t>
            </w:r>
          </w:p>
          <w:p>
            <w:pPr>
              <w:tabs>
                <w:tab w:val="left" w:pos="8085"/>
              </w:tabs>
              <w:spacing w:line="300" w:lineRule="exact"/>
              <w:jc w:val="center"/>
              <w:rPr>
                <w:rFonts w:hint="eastAsia" w:ascii="黑体" w:hAnsi="黑体" w:eastAsia="黑体" w:cs="黑体"/>
                <w:bCs/>
                <w:sz w:val="24"/>
                <w:szCs w:val="21"/>
                <w:lang w:eastAsia="zh-CN"/>
              </w:rPr>
            </w:pPr>
            <w:r>
              <w:rPr>
                <w:rFonts w:hint="eastAsia" w:ascii="黑体" w:hAnsi="黑体" w:eastAsia="黑体" w:cs="黑体"/>
                <w:bCs/>
                <w:sz w:val="24"/>
                <w:szCs w:val="21"/>
                <w:lang w:eastAsia="zh-CN"/>
              </w:rPr>
              <w:t>类型</w:t>
            </w:r>
          </w:p>
        </w:tc>
        <w:tc>
          <w:tcPr>
            <w:tcW w:w="885" w:type="dxa"/>
            <w:vAlign w:val="center"/>
          </w:tcPr>
          <w:p>
            <w:pPr>
              <w:tabs>
                <w:tab w:val="left" w:pos="8085"/>
              </w:tabs>
              <w:spacing w:line="300" w:lineRule="exact"/>
              <w:jc w:val="center"/>
              <w:rPr>
                <w:rFonts w:ascii="黑体" w:hAnsi="黑体" w:eastAsia="黑体" w:cs="黑体"/>
                <w:bCs/>
                <w:sz w:val="24"/>
                <w:szCs w:val="21"/>
              </w:rPr>
            </w:pPr>
            <w:r>
              <w:rPr>
                <w:rFonts w:hint="eastAsia" w:ascii="黑体" w:hAnsi="黑体" w:eastAsia="黑体" w:cs="黑体"/>
                <w:bCs/>
                <w:sz w:val="24"/>
                <w:szCs w:val="21"/>
              </w:rPr>
              <w:t>职务</w:t>
            </w:r>
          </w:p>
        </w:tc>
        <w:tc>
          <w:tcPr>
            <w:tcW w:w="6066" w:type="dxa"/>
            <w:vAlign w:val="center"/>
          </w:tcPr>
          <w:p>
            <w:pPr>
              <w:tabs>
                <w:tab w:val="left" w:pos="8085"/>
              </w:tabs>
              <w:spacing w:line="300" w:lineRule="exact"/>
              <w:jc w:val="center"/>
              <w:rPr>
                <w:rFonts w:ascii="黑体" w:hAnsi="黑体" w:eastAsia="黑体" w:cs="黑体"/>
                <w:bCs/>
                <w:sz w:val="24"/>
                <w:szCs w:val="21"/>
              </w:rPr>
            </w:pPr>
            <w:r>
              <w:rPr>
                <w:rFonts w:hint="eastAsia" w:ascii="黑体" w:hAnsi="黑体" w:eastAsia="黑体" w:cs="黑体"/>
                <w:bCs/>
                <w:sz w:val="24"/>
                <w:szCs w:val="21"/>
              </w:rPr>
              <w:t>简要事迹（300字）</w:t>
            </w:r>
          </w:p>
        </w:tc>
        <w:tc>
          <w:tcPr>
            <w:tcW w:w="1470" w:type="dxa"/>
            <w:vAlign w:val="center"/>
          </w:tcPr>
          <w:p>
            <w:pPr>
              <w:tabs>
                <w:tab w:val="left" w:pos="8085"/>
              </w:tabs>
              <w:spacing w:line="300" w:lineRule="exact"/>
              <w:jc w:val="center"/>
              <w:rPr>
                <w:rFonts w:hint="eastAsia" w:ascii="黑体" w:hAnsi="黑体" w:eastAsia="黑体" w:cs="黑体"/>
                <w:bCs/>
                <w:sz w:val="24"/>
                <w:szCs w:val="21"/>
                <w:lang w:eastAsia="zh-CN"/>
              </w:rPr>
            </w:pPr>
            <w:r>
              <w:rPr>
                <w:rFonts w:hint="eastAsia" w:ascii="黑体" w:hAnsi="黑体" w:eastAsia="黑体" w:cs="黑体"/>
                <w:bCs/>
                <w:sz w:val="24"/>
                <w:szCs w:val="21"/>
                <w:lang w:eastAsia="zh-CN"/>
              </w:rPr>
              <w:t>获得</w:t>
            </w:r>
            <w:r>
              <w:rPr>
                <w:rFonts w:hint="eastAsia" w:ascii="黑体" w:hAnsi="黑体" w:eastAsia="黑体" w:cs="黑体"/>
                <w:bCs/>
                <w:sz w:val="24"/>
                <w:szCs w:val="21"/>
              </w:rPr>
              <w:t>荣誉和奖</w:t>
            </w:r>
            <w:r>
              <w:rPr>
                <w:rFonts w:hint="eastAsia" w:ascii="黑体" w:hAnsi="黑体" w:eastAsia="黑体" w:cs="黑体"/>
                <w:bCs/>
                <w:sz w:val="24"/>
                <w:szCs w:val="21"/>
                <w:lang w:eastAsia="zh-CN"/>
              </w:rPr>
              <w:t>项</w:t>
            </w:r>
          </w:p>
        </w:tc>
        <w:tc>
          <w:tcPr>
            <w:tcW w:w="707" w:type="dxa"/>
            <w:vAlign w:val="center"/>
          </w:tcPr>
          <w:p>
            <w:pPr>
              <w:tabs>
                <w:tab w:val="left" w:pos="8085"/>
              </w:tabs>
              <w:spacing w:line="300" w:lineRule="exact"/>
              <w:jc w:val="center"/>
              <w:rPr>
                <w:rFonts w:ascii="黑体" w:hAnsi="黑体" w:eastAsia="黑体" w:cs="黑体"/>
                <w:bCs/>
                <w:sz w:val="24"/>
                <w:szCs w:val="21"/>
              </w:rPr>
            </w:pPr>
            <w:r>
              <w:rPr>
                <w:rFonts w:hint="eastAsia" w:ascii="黑体" w:hAnsi="黑体" w:eastAsia="黑体" w:cs="黑体"/>
                <w:bCs/>
                <w:sz w:val="2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8" w:hRule="exact"/>
        </w:trPr>
        <w:tc>
          <w:tcPr>
            <w:tcW w:w="587" w:type="dxa"/>
            <w:vAlign w:val="center"/>
          </w:tcPr>
          <w:p>
            <w:pPr>
              <w:tabs>
                <w:tab w:val="left" w:pos="8085"/>
              </w:tabs>
              <w:spacing w:line="300" w:lineRule="exact"/>
              <w:jc w:val="center"/>
              <w:rPr>
                <w:rFonts w:ascii="仿宋_GB2312" w:hAnsi="仿宋_GB2312" w:cs="仿宋_GB2312"/>
                <w:sz w:val="24"/>
              </w:rPr>
            </w:pPr>
            <w:r>
              <w:rPr>
                <w:rFonts w:hint="eastAsia" w:ascii="仿宋_GB2312" w:hAnsi="仿宋_GB2312" w:cs="仿宋_GB2312"/>
                <w:sz w:val="24"/>
              </w:rPr>
              <w:t>1</w:t>
            </w:r>
          </w:p>
        </w:tc>
        <w:tc>
          <w:tcPr>
            <w:tcW w:w="939" w:type="dxa"/>
            <w:vAlign w:val="center"/>
          </w:tcPr>
          <w:p>
            <w:pPr>
              <w:tabs>
                <w:tab w:val="left" w:pos="8085"/>
              </w:tabs>
              <w:spacing w:line="300" w:lineRule="exact"/>
              <w:rPr>
                <w:rFonts w:hint="eastAsia" w:ascii="仿宋_GB2312" w:hAnsi="仿宋_GB2312" w:cs="仿宋_GB2312"/>
                <w:sz w:val="24"/>
              </w:rPr>
            </w:pPr>
            <w:r>
              <w:rPr>
                <w:rFonts w:hint="eastAsia" w:ascii="仿宋_GB2312" w:hAnsi="仿宋_GB2312" w:cs="仿宋_GB2312"/>
                <w:sz w:val="24"/>
              </w:rPr>
              <w:t>泉州市人力资源和社会保障局</w:t>
            </w:r>
          </w:p>
        </w:tc>
        <w:tc>
          <w:tcPr>
            <w:tcW w:w="939" w:type="dxa"/>
            <w:vAlign w:val="center"/>
          </w:tcPr>
          <w:p>
            <w:pPr>
              <w:tabs>
                <w:tab w:val="left" w:pos="8085"/>
              </w:tabs>
              <w:spacing w:line="300" w:lineRule="exact"/>
              <w:rPr>
                <w:rFonts w:hint="eastAsia" w:ascii="仿宋_GB2312" w:hAnsi="仿宋_GB2312" w:cs="仿宋_GB2312"/>
                <w:sz w:val="24"/>
              </w:rPr>
            </w:pPr>
            <w:r>
              <w:rPr>
                <w:rFonts w:hint="eastAsia" w:ascii="仿宋_GB2312" w:hAnsi="仿宋_GB2312" w:cs="仿宋_GB2312"/>
                <w:sz w:val="24"/>
              </w:rPr>
              <w:t>泉州市人力资源和社会保障局</w:t>
            </w:r>
          </w:p>
        </w:tc>
        <w:tc>
          <w:tcPr>
            <w:tcW w:w="939" w:type="dxa"/>
            <w:vAlign w:val="center"/>
          </w:tcPr>
          <w:p>
            <w:pPr>
              <w:tabs>
                <w:tab w:val="left" w:pos="8085"/>
              </w:tabs>
              <w:spacing w:line="300" w:lineRule="exact"/>
              <w:rPr>
                <w:rFonts w:ascii="仿宋_GB2312" w:hAnsi="仿宋_GB2312" w:cs="仿宋_GB2312"/>
                <w:sz w:val="24"/>
              </w:rPr>
            </w:pPr>
            <w:r>
              <w:rPr>
                <w:rFonts w:hint="eastAsia" w:ascii="仿宋_GB2312" w:hAnsi="仿宋_GB2312" w:cs="仿宋_GB2312"/>
                <w:sz w:val="24"/>
              </w:rPr>
              <w:t>龚时荣</w:t>
            </w:r>
          </w:p>
        </w:tc>
        <w:tc>
          <w:tcPr>
            <w:tcW w:w="816" w:type="dxa"/>
            <w:vAlign w:val="center"/>
          </w:tcPr>
          <w:p>
            <w:pPr>
              <w:tabs>
                <w:tab w:val="left" w:pos="8085"/>
              </w:tabs>
              <w:spacing w:line="300" w:lineRule="exact"/>
              <w:jc w:val="center"/>
              <w:rPr>
                <w:rFonts w:hint="eastAsia" w:ascii="仿宋_GB2312" w:hAnsi="仿宋_GB2312" w:cs="仿宋_GB2312"/>
                <w:sz w:val="24"/>
                <w:lang w:eastAsia="zh-CN"/>
              </w:rPr>
            </w:pPr>
            <w:r>
              <w:rPr>
                <w:rFonts w:hint="eastAsia" w:ascii="仿宋_GB2312" w:hAnsi="仿宋_GB2312" w:cs="仿宋_GB2312"/>
                <w:sz w:val="24"/>
                <w:lang w:eastAsia="zh-CN"/>
              </w:rPr>
              <w:t>行政</w:t>
            </w:r>
          </w:p>
          <w:p>
            <w:pPr>
              <w:tabs>
                <w:tab w:val="left" w:pos="8085"/>
              </w:tabs>
              <w:spacing w:line="300" w:lineRule="exact"/>
              <w:jc w:val="center"/>
              <w:rPr>
                <w:rFonts w:hint="eastAsia" w:ascii="仿宋_GB2312" w:hAnsi="仿宋_GB2312" w:eastAsia="仿宋_GB2312" w:cs="仿宋_GB2312"/>
                <w:sz w:val="24"/>
                <w:lang w:eastAsia="zh-CN"/>
              </w:rPr>
            </w:pPr>
            <w:r>
              <w:rPr>
                <w:rFonts w:hint="eastAsia" w:ascii="仿宋_GB2312" w:hAnsi="仿宋_GB2312" w:cs="仿宋_GB2312"/>
                <w:sz w:val="24"/>
                <w:lang w:eastAsia="zh-CN"/>
              </w:rPr>
              <w:t>机关</w:t>
            </w:r>
          </w:p>
        </w:tc>
        <w:tc>
          <w:tcPr>
            <w:tcW w:w="885" w:type="dxa"/>
            <w:vAlign w:val="center"/>
          </w:tcPr>
          <w:p>
            <w:pPr>
              <w:tabs>
                <w:tab w:val="left" w:pos="8085"/>
              </w:tabs>
              <w:spacing w:line="300" w:lineRule="exact"/>
              <w:jc w:val="center"/>
              <w:rPr>
                <w:rFonts w:ascii="仿宋_GB2312" w:hAnsi="仿宋_GB2312" w:cs="仿宋_GB2312"/>
                <w:bCs/>
                <w:sz w:val="24"/>
              </w:rPr>
            </w:pPr>
            <w:r>
              <w:rPr>
                <w:rFonts w:hint="eastAsia" w:ascii="仿宋_GB2312" w:hAnsi="仿宋_GB2312" w:cs="仿宋_GB2312"/>
                <w:bCs/>
                <w:sz w:val="24"/>
              </w:rPr>
              <w:t>副局长</w:t>
            </w:r>
          </w:p>
        </w:tc>
        <w:tc>
          <w:tcPr>
            <w:tcW w:w="6066" w:type="dxa"/>
            <w:vAlign w:val="center"/>
          </w:tcPr>
          <w:p>
            <w:pPr>
              <w:pStyle w:val="2"/>
              <w:ind w:firstLine="480"/>
              <w:rPr>
                <w:rFonts w:ascii="仿宋_GB2312" w:hAnsi="仿宋_GB2312" w:cs="仿宋_GB2312"/>
                <w:sz w:val="24"/>
              </w:rPr>
            </w:pPr>
            <w:r>
              <w:rPr>
                <w:rFonts w:hint="eastAsia" w:ascii="仿宋_GB2312" w:eastAsia="仿宋_GB2312"/>
                <w:sz w:val="24"/>
              </w:rPr>
              <w:t>该同志始终坚持以人民为中心的发展思想，积极作为，以实际行动践行了新时代人社工作者的初心使命。做改革落地的坚定推动者。面对国家延迟退休改革与福建省新就业形态职业伤害保障试点双重任务，靠前指挥，积极回应群众关切，推动职业伤害保障覆盖24.14万人。做社保基金的忠诚守护者，牵头深化社保基金管理巩固提升行动，建立“动员部署—责任分工—核查处置—销号管理”的全链条闭环机制。对发现的1304个问题实行台账管理、逐项督办销号，整改率达99.23%，走在全省前列。做便民惠民的贴心服务者。主动争取社银合作试点，新增“就近办”服务网点60余个，在全省首创县级（德化）鉴定站，累计开展就近鉴定13场，服务伤残职工476人，做和谐劳动的用心维护者，主导打造“泉调解”品牌生态圈，推广“数智”治理模式，数字仲裁庭数量位居全省第二，晋江市调解中心获国家通报表扬。建立“泉XIN护‘蜂’”系列服务阵地，完善“五级联调”体系，今年4月作为全国人社系统唯一代表在全国工商联商会调解交流活动中作交流发言。</w:t>
            </w:r>
          </w:p>
        </w:tc>
        <w:tc>
          <w:tcPr>
            <w:tcW w:w="1470" w:type="dxa"/>
            <w:vAlign w:val="center"/>
          </w:tcPr>
          <w:p>
            <w:pPr>
              <w:tabs>
                <w:tab w:val="left" w:pos="8085"/>
              </w:tabs>
              <w:spacing w:line="300" w:lineRule="exact"/>
              <w:jc w:val="center"/>
              <w:rPr>
                <w:rFonts w:ascii="仿宋_GB2312" w:hAnsi="仿宋_GB2312" w:cs="仿宋_GB2312"/>
                <w:sz w:val="24"/>
              </w:rPr>
            </w:pPr>
            <w:r>
              <w:rPr>
                <w:rFonts w:hint="eastAsia" w:ascii="仿宋_GB2312" w:hAnsi="仿宋_GB2312" w:cs="仿宋_GB2312"/>
                <w:sz w:val="24"/>
              </w:rPr>
              <w:t>2024.07经泉州市组织部批准记三等功。</w:t>
            </w:r>
          </w:p>
        </w:tc>
        <w:tc>
          <w:tcPr>
            <w:tcW w:w="707" w:type="dxa"/>
            <w:vAlign w:val="center"/>
          </w:tcPr>
          <w:p>
            <w:pPr>
              <w:tabs>
                <w:tab w:val="left" w:pos="8085"/>
              </w:tabs>
              <w:spacing w:line="300" w:lineRule="exact"/>
              <w:jc w:val="center"/>
              <w:rPr>
                <w:rFonts w:ascii="仿宋_GB2312" w:hAnsi="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0" w:hRule="exact"/>
        </w:trPr>
        <w:tc>
          <w:tcPr>
            <w:tcW w:w="587" w:type="dxa"/>
            <w:vAlign w:val="center"/>
          </w:tcPr>
          <w:p>
            <w:pPr>
              <w:tabs>
                <w:tab w:val="left" w:pos="8085"/>
              </w:tabs>
              <w:spacing w:line="300" w:lineRule="exact"/>
              <w:jc w:val="center"/>
              <w:rPr>
                <w:rFonts w:ascii="仿宋_GB2312" w:hAnsi="仿宋_GB2312" w:cs="仿宋_GB2312"/>
                <w:sz w:val="24"/>
              </w:rPr>
            </w:pPr>
            <w:r>
              <w:rPr>
                <w:rFonts w:hint="eastAsia" w:ascii="仿宋_GB2312" w:hAnsi="仿宋_GB2312" w:cs="仿宋_GB2312"/>
                <w:sz w:val="24"/>
              </w:rPr>
              <w:t>2</w:t>
            </w:r>
          </w:p>
        </w:tc>
        <w:tc>
          <w:tcPr>
            <w:tcW w:w="939" w:type="dxa"/>
            <w:vAlign w:val="center"/>
          </w:tcPr>
          <w:p>
            <w:pPr>
              <w:tabs>
                <w:tab w:val="left" w:pos="8085"/>
              </w:tabs>
              <w:spacing w:line="300" w:lineRule="exact"/>
              <w:jc w:val="center"/>
              <w:rPr>
                <w:rFonts w:hint="eastAsia" w:ascii="仿宋_GB2312" w:hAnsi="仿宋_GB2312" w:cs="仿宋_GB2312"/>
                <w:sz w:val="24"/>
              </w:rPr>
            </w:pPr>
            <w:r>
              <w:rPr>
                <w:rFonts w:hint="eastAsia" w:ascii="仿宋_GB2312" w:hAnsi="仿宋_GB2312" w:cs="仿宋_GB2312"/>
                <w:sz w:val="24"/>
              </w:rPr>
              <w:t>泉州市人力资源和社会保障局</w:t>
            </w:r>
          </w:p>
        </w:tc>
        <w:tc>
          <w:tcPr>
            <w:tcW w:w="939" w:type="dxa"/>
            <w:vAlign w:val="center"/>
          </w:tcPr>
          <w:p>
            <w:pPr>
              <w:tabs>
                <w:tab w:val="left" w:pos="8085"/>
              </w:tabs>
              <w:spacing w:line="300" w:lineRule="exact"/>
              <w:jc w:val="center"/>
              <w:rPr>
                <w:rFonts w:hint="eastAsia" w:ascii="仿宋_GB2312" w:hAnsi="仿宋_GB2312" w:cs="仿宋_GB2312"/>
                <w:sz w:val="24"/>
              </w:rPr>
            </w:pPr>
            <w:r>
              <w:rPr>
                <w:rFonts w:hint="eastAsia" w:ascii="仿宋_GB2312" w:hAnsi="仿宋_GB2312" w:cs="仿宋_GB2312"/>
                <w:sz w:val="24"/>
              </w:rPr>
              <w:t>泉州市就业和人才人事公共服务中心</w:t>
            </w:r>
          </w:p>
        </w:tc>
        <w:tc>
          <w:tcPr>
            <w:tcW w:w="939" w:type="dxa"/>
            <w:vAlign w:val="center"/>
          </w:tcPr>
          <w:p>
            <w:pPr>
              <w:tabs>
                <w:tab w:val="left" w:pos="8085"/>
              </w:tabs>
              <w:spacing w:line="300" w:lineRule="exact"/>
              <w:jc w:val="center"/>
              <w:rPr>
                <w:rFonts w:ascii="仿宋_GB2312" w:hAnsi="仿宋_GB2312" w:cs="仿宋_GB2312"/>
                <w:sz w:val="24"/>
              </w:rPr>
            </w:pPr>
            <w:r>
              <w:rPr>
                <w:rFonts w:hint="eastAsia" w:ascii="仿宋_GB2312" w:hAnsi="仿宋_GB2312" w:cs="仿宋_GB2312"/>
                <w:sz w:val="24"/>
              </w:rPr>
              <w:t>王新雨</w:t>
            </w:r>
          </w:p>
        </w:tc>
        <w:tc>
          <w:tcPr>
            <w:tcW w:w="816" w:type="dxa"/>
            <w:vAlign w:val="center"/>
          </w:tcPr>
          <w:p>
            <w:pPr>
              <w:tabs>
                <w:tab w:val="left" w:pos="8085"/>
              </w:tabs>
              <w:spacing w:line="300" w:lineRule="exact"/>
              <w:jc w:val="center"/>
              <w:rPr>
                <w:rFonts w:hint="eastAsia" w:ascii="仿宋_GB2312" w:hAnsi="仿宋_GB2312" w:eastAsia="仿宋_GB2312" w:cs="仿宋_GB2312"/>
                <w:sz w:val="24"/>
                <w:lang w:eastAsia="zh-CN"/>
              </w:rPr>
            </w:pPr>
            <w:r>
              <w:rPr>
                <w:rFonts w:hint="eastAsia" w:ascii="仿宋_GB2312" w:hAnsi="仿宋_GB2312" w:cs="仿宋_GB2312"/>
                <w:sz w:val="24"/>
                <w:lang w:eastAsia="zh-CN"/>
              </w:rPr>
              <w:t>参公事业单位</w:t>
            </w:r>
          </w:p>
        </w:tc>
        <w:tc>
          <w:tcPr>
            <w:tcW w:w="885" w:type="dxa"/>
            <w:vAlign w:val="center"/>
          </w:tcPr>
          <w:p>
            <w:pPr>
              <w:tabs>
                <w:tab w:val="left" w:pos="8085"/>
              </w:tabs>
              <w:spacing w:line="300" w:lineRule="exact"/>
              <w:jc w:val="center"/>
              <w:rPr>
                <w:rFonts w:ascii="仿宋_GB2312" w:hAnsi="仿宋_GB2312" w:cs="仿宋_GB2312"/>
                <w:bCs/>
                <w:sz w:val="24"/>
              </w:rPr>
            </w:pPr>
            <w:r>
              <w:rPr>
                <w:rFonts w:hint="eastAsia" w:ascii="仿宋_GB2312" w:hAnsi="仿宋_GB2312" w:cs="仿宋_GB2312"/>
                <w:bCs/>
                <w:sz w:val="24"/>
              </w:rPr>
              <w:t>主任、四级调研员</w:t>
            </w:r>
          </w:p>
        </w:tc>
        <w:tc>
          <w:tcPr>
            <w:tcW w:w="6066" w:type="dxa"/>
            <w:vAlign w:val="center"/>
          </w:tcPr>
          <w:p>
            <w:pPr>
              <w:spacing w:line="300" w:lineRule="exact"/>
              <w:ind w:firstLine="480" w:firstLineChars="200"/>
              <w:jc w:val="left"/>
              <w:rPr>
                <w:rFonts w:ascii="仿宋_GB2312" w:hAnsi="仿宋_GB2312" w:cs="仿宋_GB2312"/>
                <w:sz w:val="24"/>
              </w:rPr>
            </w:pPr>
            <w:r>
              <w:rPr>
                <w:rFonts w:hint="eastAsia" w:ascii="仿宋_GB2312" w:hAnsi="仿宋_GB2312" w:cs="仿宋_GB2312"/>
                <w:sz w:val="24"/>
              </w:rPr>
              <w:t>该同志坚决贯彻落实上级决策部署，急难险重任务面前带头冲锋，带领干部职工锚定主责主业不动摇，泉州市就业大局保持总体稳定、稳中向好。带头优化行风，政务服务“好评率”保持100%，聚焦企业招工难与劳动者就业难的结构性矛盾，首创“引工大使”模式，获央视《焦点访谈》报道；打造零工市场“泉州样板”，灵活就业服务模式获省上推广。在全省率先推出线上服务主平台“泉就业”公共服务平台，推动就业服务数字化转型。坚持把稳市场主体作为稳就业的根基，五年来累计减征失业保险费20.97亿元，发放稳岗返还4.51亿元，惠及企业超43万户次。精准发力扩岗促就业，累计新增城镇就业39.39万人；帮扶失业人员再就业7.88万人、困难人员就业9032人。用心兜牢民生底线，发放失业保险待遇12.17亿元，保障失业人员基本生活；同步做好残疾人等困难群体就业帮扶，中心荣获“全省残疾人工作先进集体”。</w:t>
            </w:r>
          </w:p>
        </w:tc>
        <w:tc>
          <w:tcPr>
            <w:tcW w:w="1470" w:type="dxa"/>
            <w:vAlign w:val="center"/>
          </w:tcPr>
          <w:p>
            <w:pPr>
              <w:tabs>
                <w:tab w:val="left" w:pos="8085"/>
              </w:tabs>
              <w:spacing w:line="300" w:lineRule="exact"/>
              <w:jc w:val="center"/>
              <w:rPr>
                <w:rFonts w:ascii="仿宋_GB2312" w:hAnsi="仿宋_GB2312" w:cs="仿宋_GB2312"/>
                <w:sz w:val="24"/>
              </w:rPr>
            </w:pPr>
          </w:p>
        </w:tc>
        <w:tc>
          <w:tcPr>
            <w:tcW w:w="707" w:type="dxa"/>
            <w:vAlign w:val="center"/>
          </w:tcPr>
          <w:p>
            <w:pPr>
              <w:tabs>
                <w:tab w:val="left" w:pos="8085"/>
              </w:tabs>
              <w:spacing w:line="300" w:lineRule="exact"/>
              <w:jc w:val="center"/>
              <w:rPr>
                <w:rFonts w:ascii="仿宋_GB2312" w:hAnsi="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1" w:hRule="exact"/>
        </w:trPr>
        <w:tc>
          <w:tcPr>
            <w:tcW w:w="587" w:type="dxa"/>
            <w:vAlign w:val="center"/>
          </w:tcPr>
          <w:p>
            <w:pPr>
              <w:tabs>
                <w:tab w:val="left" w:pos="8085"/>
              </w:tabs>
              <w:spacing w:line="300" w:lineRule="exact"/>
              <w:jc w:val="center"/>
              <w:rPr>
                <w:rFonts w:ascii="仿宋_GB2312" w:hAnsi="仿宋_GB2312" w:cs="仿宋_GB2312"/>
                <w:sz w:val="24"/>
              </w:rPr>
            </w:pPr>
            <w:r>
              <w:rPr>
                <w:rFonts w:hint="eastAsia" w:ascii="仿宋_GB2312" w:hAnsi="仿宋_GB2312" w:cs="仿宋_GB2312"/>
                <w:sz w:val="24"/>
              </w:rPr>
              <w:t>3</w:t>
            </w:r>
          </w:p>
        </w:tc>
        <w:tc>
          <w:tcPr>
            <w:tcW w:w="939" w:type="dxa"/>
            <w:vAlign w:val="center"/>
          </w:tcPr>
          <w:p>
            <w:pPr>
              <w:tabs>
                <w:tab w:val="left" w:pos="8085"/>
              </w:tabs>
              <w:spacing w:line="300" w:lineRule="exact"/>
              <w:jc w:val="center"/>
              <w:rPr>
                <w:rFonts w:hint="eastAsia" w:ascii="仿宋_GB2312" w:hAnsi="仿宋_GB2312" w:eastAsia="仿宋_GB2312" w:cs="仿宋_GB2312"/>
                <w:sz w:val="24"/>
                <w:lang w:eastAsia="zh-CN"/>
              </w:rPr>
            </w:pPr>
            <w:r>
              <w:rPr>
                <w:rFonts w:hint="eastAsia" w:ascii="仿宋_GB2312" w:hAnsi="仿宋_GB2312" w:cs="仿宋_GB2312"/>
                <w:sz w:val="24"/>
              </w:rPr>
              <w:t>泉州市人力资源和社会保障</w:t>
            </w:r>
            <w:r>
              <w:rPr>
                <w:rFonts w:hint="eastAsia" w:ascii="仿宋_GB2312" w:hAnsi="仿宋_GB2312" w:cs="仿宋_GB2312"/>
                <w:sz w:val="24"/>
                <w:lang w:eastAsia="zh-CN"/>
              </w:rPr>
              <w:t>局</w:t>
            </w:r>
          </w:p>
        </w:tc>
        <w:tc>
          <w:tcPr>
            <w:tcW w:w="939" w:type="dxa"/>
            <w:vAlign w:val="center"/>
          </w:tcPr>
          <w:p>
            <w:pPr>
              <w:tabs>
                <w:tab w:val="left" w:pos="8085"/>
              </w:tabs>
              <w:spacing w:line="300" w:lineRule="exact"/>
              <w:jc w:val="center"/>
              <w:rPr>
                <w:rFonts w:hint="eastAsia" w:ascii="仿宋_GB2312" w:hAnsi="仿宋_GB2312" w:cs="仿宋_GB2312"/>
                <w:sz w:val="24"/>
              </w:rPr>
            </w:pPr>
            <w:r>
              <w:rPr>
                <w:rFonts w:hint="eastAsia" w:ascii="仿宋_GB2312" w:hAnsi="仿宋_GB2312" w:cs="仿宋_GB2312"/>
                <w:sz w:val="24"/>
              </w:rPr>
              <w:t>泉州市社会保险中心</w:t>
            </w:r>
          </w:p>
        </w:tc>
        <w:tc>
          <w:tcPr>
            <w:tcW w:w="939" w:type="dxa"/>
            <w:vAlign w:val="center"/>
          </w:tcPr>
          <w:p>
            <w:pPr>
              <w:tabs>
                <w:tab w:val="left" w:pos="8085"/>
              </w:tabs>
              <w:spacing w:line="300" w:lineRule="exact"/>
              <w:jc w:val="center"/>
              <w:rPr>
                <w:rFonts w:ascii="仿宋_GB2312" w:hAnsi="仿宋_GB2312" w:cs="仿宋_GB2312"/>
                <w:sz w:val="24"/>
              </w:rPr>
            </w:pPr>
            <w:r>
              <w:rPr>
                <w:rFonts w:hint="eastAsia" w:ascii="仿宋_GB2312" w:hAnsi="仿宋_GB2312" w:cs="仿宋_GB2312"/>
                <w:sz w:val="24"/>
              </w:rPr>
              <w:t>陈凯</w:t>
            </w:r>
          </w:p>
        </w:tc>
        <w:tc>
          <w:tcPr>
            <w:tcW w:w="816" w:type="dxa"/>
            <w:vAlign w:val="center"/>
          </w:tcPr>
          <w:p>
            <w:pPr>
              <w:tabs>
                <w:tab w:val="left" w:pos="8085"/>
              </w:tabs>
              <w:spacing w:line="300" w:lineRule="exact"/>
              <w:jc w:val="center"/>
              <w:rPr>
                <w:rFonts w:ascii="仿宋_GB2312" w:hAnsi="仿宋_GB2312" w:cs="仿宋_GB2312"/>
                <w:sz w:val="24"/>
              </w:rPr>
            </w:pPr>
            <w:r>
              <w:rPr>
                <w:rFonts w:hint="eastAsia" w:ascii="仿宋_GB2312" w:hAnsi="仿宋_GB2312" w:cs="仿宋_GB2312"/>
                <w:sz w:val="24"/>
                <w:lang w:eastAsia="zh-CN"/>
              </w:rPr>
              <w:t>参公事业单位</w:t>
            </w:r>
          </w:p>
        </w:tc>
        <w:tc>
          <w:tcPr>
            <w:tcW w:w="885" w:type="dxa"/>
            <w:vAlign w:val="center"/>
          </w:tcPr>
          <w:p>
            <w:pPr>
              <w:tabs>
                <w:tab w:val="left" w:pos="8085"/>
              </w:tabs>
              <w:spacing w:line="300" w:lineRule="exact"/>
              <w:jc w:val="center"/>
              <w:rPr>
                <w:rFonts w:ascii="仿宋_GB2312" w:hAnsi="仿宋_GB2312" w:cs="仿宋_GB2312"/>
                <w:bCs/>
                <w:sz w:val="24"/>
              </w:rPr>
            </w:pPr>
            <w:r>
              <w:rPr>
                <w:rFonts w:hint="eastAsia" w:ascii="仿宋_GB2312" w:hAnsi="仿宋_GB2312" w:cs="仿宋_GB2312"/>
                <w:bCs/>
                <w:sz w:val="24"/>
              </w:rPr>
              <w:t>主任、一级主任科员</w:t>
            </w:r>
          </w:p>
        </w:tc>
        <w:tc>
          <w:tcPr>
            <w:tcW w:w="6066" w:type="dxa"/>
            <w:vAlign w:val="center"/>
          </w:tcPr>
          <w:p>
            <w:pPr>
              <w:spacing w:line="300" w:lineRule="exact"/>
              <w:ind w:firstLine="480" w:firstLineChars="200"/>
              <w:jc w:val="left"/>
              <w:rPr>
                <w:rFonts w:ascii="仿宋_GB2312" w:hAnsi="仿宋_GB2312" w:cs="仿宋_GB2312"/>
                <w:sz w:val="24"/>
              </w:rPr>
            </w:pPr>
            <w:r>
              <w:rPr>
                <w:rFonts w:hint="eastAsia" w:ascii="仿宋_GB2312" w:hAnsi="仿宋_GB2312" w:cs="仿宋_GB2312"/>
                <w:sz w:val="24"/>
              </w:rPr>
              <w:t>该同志始终以党员标准严格律己，立足党建引领社保民生工作，在思想淬炼中坚定方向，在履职尽责中务实担当，在廉政自律中永葆本色。全面履行党建第一责任人职责，规范落实组织生活制度，创新打造“暖心社保”党建品牌。紧扣社保服务大局，以实干推动民生服务更接地气、队伍锻造更加专业、社保事业更具价值。狠抓社保扩面提质，按时完成精准扩面任务，大幅提升全市企业职工养老保险参保率，优化参保结构。推动美团骑手参加养老保险试点（泉州是全国两个试点城市之一），织密新业态劳动者“保障网”。坚持民生导向、服务下沉，全面推行社保服务“就近办”，开展国有企业退休预审服务，全力化解群众办事堵点难题。坚持以干代练、以战促学，在重点攻坚任务中锤炼队伍专业经办能力，持续优化社保经办质效，切实筑牢民生保障底线。</w:t>
            </w:r>
          </w:p>
        </w:tc>
        <w:tc>
          <w:tcPr>
            <w:tcW w:w="1470" w:type="dxa"/>
            <w:vAlign w:val="center"/>
          </w:tcPr>
          <w:p>
            <w:pPr>
              <w:tabs>
                <w:tab w:val="left" w:pos="8085"/>
              </w:tabs>
              <w:spacing w:line="300" w:lineRule="exact"/>
              <w:jc w:val="center"/>
              <w:rPr>
                <w:rFonts w:ascii="仿宋_GB2312" w:hAnsi="仿宋_GB2312" w:cs="仿宋_GB2312"/>
                <w:sz w:val="24"/>
              </w:rPr>
            </w:pPr>
          </w:p>
        </w:tc>
        <w:tc>
          <w:tcPr>
            <w:tcW w:w="707" w:type="dxa"/>
            <w:vAlign w:val="center"/>
          </w:tcPr>
          <w:p>
            <w:pPr>
              <w:tabs>
                <w:tab w:val="left" w:pos="8085"/>
              </w:tabs>
              <w:spacing w:line="300" w:lineRule="exact"/>
              <w:jc w:val="center"/>
              <w:rPr>
                <w:rFonts w:ascii="仿宋_GB2312" w:hAnsi="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8" w:hRule="exact"/>
        </w:trPr>
        <w:tc>
          <w:tcPr>
            <w:tcW w:w="587" w:type="dxa"/>
            <w:vAlign w:val="center"/>
          </w:tcPr>
          <w:p>
            <w:pPr>
              <w:tabs>
                <w:tab w:val="left" w:pos="8085"/>
              </w:tabs>
              <w:spacing w:line="300" w:lineRule="exact"/>
              <w:jc w:val="center"/>
              <w:rPr>
                <w:rFonts w:ascii="仿宋_GB2312" w:hAnsi="仿宋_GB2312" w:cs="仿宋_GB2312"/>
                <w:sz w:val="24"/>
              </w:rPr>
            </w:pPr>
            <w:r>
              <w:rPr>
                <w:rFonts w:hint="eastAsia" w:ascii="仿宋_GB2312" w:hAnsi="仿宋_GB2312" w:cs="仿宋_GB2312"/>
                <w:sz w:val="24"/>
              </w:rPr>
              <w:t>4</w:t>
            </w:r>
          </w:p>
        </w:tc>
        <w:tc>
          <w:tcPr>
            <w:tcW w:w="939" w:type="dxa"/>
            <w:vAlign w:val="center"/>
          </w:tcPr>
          <w:p>
            <w:pPr>
              <w:tabs>
                <w:tab w:val="left" w:pos="8085"/>
              </w:tabs>
              <w:spacing w:line="300" w:lineRule="exact"/>
              <w:jc w:val="center"/>
              <w:rPr>
                <w:rFonts w:hint="eastAsia" w:ascii="仿宋_GB2312" w:hAnsi="仿宋_GB2312" w:eastAsia="仿宋_GB2312" w:cs="仿宋_GB2312"/>
                <w:sz w:val="24"/>
                <w:lang w:eastAsia="zh-CN"/>
              </w:rPr>
            </w:pPr>
            <w:r>
              <w:rPr>
                <w:rFonts w:hint="eastAsia" w:ascii="仿宋_GB2312" w:hAnsi="仿宋_GB2312" w:cs="仿宋_GB2312"/>
                <w:sz w:val="24"/>
              </w:rPr>
              <w:t>丰泽区</w:t>
            </w:r>
            <w:r>
              <w:rPr>
                <w:rFonts w:hint="eastAsia" w:ascii="仿宋_GB2312" w:hAnsi="仿宋_GB2312" w:cs="仿宋_GB2312"/>
                <w:sz w:val="24"/>
                <w:lang w:eastAsia="zh-CN"/>
              </w:rPr>
              <w:t>人民政府</w:t>
            </w:r>
          </w:p>
        </w:tc>
        <w:tc>
          <w:tcPr>
            <w:tcW w:w="939" w:type="dxa"/>
            <w:vAlign w:val="center"/>
          </w:tcPr>
          <w:p>
            <w:pPr>
              <w:tabs>
                <w:tab w:val="left" w:pos="8085"/>
              </w:tabs>
              <w:spacing w:line="300" w:lineRule="exact"/>
              <w:jc w:val="center"/>
              <w:rPr>
                <w:rFonts w:hint="eastAsia" w:ascii="仿宋_GB2312" w:hAnsi="仿宋_GB2312" w:cs="仿宋_GB2312"/>
                <w:sz w:val="24"/>
              </w:rPr>
            </w:pPr>
            <w:r>
              <w:rPr>
                <w:rFonts w:hint="eastAsia" w:ascii="仿宋_GB2312" w:hAnsi="仿宋_GB2312" w:cs="仿宋_GB2312"/>
                <w:sz w:val="24"/>
              </w:rPr>
              <w:t>丰泽区人</w:t>
            </w:r>
            <w:r>
              <w:rPr>
                <w:rFonts w:hint="eastAsia" w:ascii="仿宋_GB2312" w:hAnsi="仿宋_GB2312" w:cs="仿宋_GB2312"/>
                <w:sz w:val="24"/>
                <w:lang w:eastAsia="zh-CN"/>
              </w:rPr>
              <w:t>力资源和社会保障局</w:t>
            </w:r>
          </w:p>
        </w:tc>
        <w:tc>
          <w:tcPr>
            <w:tcW w:w="939" w:type="dxa"/>
            <w:vAlign w:val="center"/>
          </w:tcPr>
          <w:p>
            <w:pPr>
              <w:tabs>
                <w:tab w:val="left" w:pos="8085"/>
              </w:tabs>
              <w:spacing w:line="300" w:lineRule="exact"/>
              <w:jc w:val="center"/>
              <w:rPr>
                <w:rFonts w:ascii="仿宋_GB2312" w:hAnsi="仿宋_GB2312" w:cs="仿宋_GB2312"/>
                <w:sz w:val="24"/>
              </w:rPr>
            </w:pPr>
            <w:r>
              <w:rPr>
                <w:rFonts w:hint="eastAsia" w:ascii="仿宋_GB2312" w:hAnsi="仿宋_GB2312" w:cs="仿宋_GB2312"/>
                <w:sz w:val="24"/>
              </w:rPr>
              <w:t>曾颖</w:t>
            </w:r>
          </w:p>
        </w:tc>
        <w:tc>
          <w:tcPr>
            <w:tcW w:w="816" w:type="dxa"/>
            <w:vAlign w:val="center"/>
          </w:tcPr>
          <w:p>
            <w:pPr>
              <w:tabs>
                <w:tab w:val="left" w:pos="8085"/>
              </w:tabs>
              <w:spacing w:line="300" w:lineRule="exact"/>
              <w:jc w:val="center"/>
              <w:rPr>
                <w:rFonts w:hint="eastAsia" w:ascii="仿宋_GB2312" w:hAnsi="仿宋_GB2312" w:eastAsia="仿宋_GB2312" w:cs="仿宋_GB2312"/>
                <w:sz w:val="24"/>
                <w:lang w:eastAsia="zh-CN"/>
              </w:rPr>
            </w:pPr>
            <w:r>
              <w:rPr>
                <w:rFonts w:hint="eastAsia" w:ascii="仿宋_GB2312" w:hAnsi="仿宋_GB2312" w:cs="仿宋_GB2312"/>
                <w:sz w:val="24"/>
                <w:lang w:eastAsia="zh-CN"/>
              </w:rPr>
              <w:t>行政机关</w:t>
            </w:r>
          </w:p>
        </w:tc>
        <w:tc>
          <w:tcPr>
            <w:tcW w:w="885" w:type="dxa"/>
            <w:vAlign w:val="center"/>
          </w:tcPr>
          <w:p>
            <w:pPr>
              <w:tabs>
                <w:tab w:val="left" w:pos="8085"/>
              </w:tabs>
              <w:spacing w:line="300" w:lineRule="exact"/>
              <w:jc w:val="center"/>
              <w:rPr>
                <w:rFonts w:ascii="仿宋_GB2312" w:hAnsi="仿宋_GB2312" w:cs="仿宋_GB2312"/>
                <w:sz w:val="24"/>
              </w:rPr>
            </w:pPr>
            <w:r>
              <w:rPr>
                <w:rFonts w:hint="eastAsia" w:ascii="仿宋_GB2312" w:hAnsi="仿宋_GB2312" w:cs="仿宋_GB2312"/>
                <w:bCs/>
                <w:sz w:val="24"/>
              </w:rPr>
              <w:t>党组书记、局长、一级主任科员</w:t>
            </w:r>
          </w:p>
        </w:tc>
        <w:tc>
          <w:tcPr>
            <w:tcW w:w="6066" w:type="dxa"/>
            <w:vAlign w:val="center"/>
          </w:tcPr>
          <w:p>
            <w:pPr>
              <w:spacing w:line="300" w:lineRule="exact"/>
              <w:ind w:firstLine="480" w:firstLineChars="200"/>
              <w:jc w:val="left"/>
              <w:rPr>
                <w:rFonts w:ascii="仿宋_GB2312" w:hAnsi="仿宋_GB2312" w:cs="仿宋_GB2312"/>
                <w:sz w:val="24"/>
              </w:rPr>
            </w:pPr>
            <w:r>
              <w:rPr>
                <w:rFonts w:hint="eastAsia" w:ascii="仿宋_GB2312" w:hAnsi="仿宋_GB2312" w:cs="仿宋_GB2312"/>
                <w:sz w:val="24"/>
              </w:rPr>
              <w:t>该同志政治立场坚定，坚持以“谋思路、建机制、强调度、抓队伍”为工作准则，围绕“10+3”重点项目，勤勉履职、廉洁奉公、锐意进取，牵头创新推出多项特色工作举措，技能人才培育、一站式”就业平台、“两保四险”业务合一等多项经验入选省、市典型案例，单位宣传工作获人社部办公厅、省人社厅多次通报表扬，2021年获评全省人社系统先进集体，并屡获全区先进集体称号。深耕制度建设，牵头建立多领冒领社会保险待遇事前联合预防、根治欠薪6.0等机制，培育“丰和语畅”调解品牌，出台单位“七个一”机制，激发干部队伍干事创业活力。高效调度重点工作，牵头推动创建并入选市级人力资源产业园，单位各项工作成绩、指标均在全市人社系统排名前列。</w:t>
            </w:r>
          </w:p>
        </w:tc>
        <w:tc>
          <w:tcPr>
            <w:tcW w:w="1470" w:type="dxa"/>
            <w:vAlign w:val="center"/>
          </w:tcPr>
          <w:p>
            <w:pPr>
              <w:tabs>
                <w:tab w:val="left" w:pos="8085"/>
              </w:tabs>
              <w:spacing w:line="300" w:lineRule="exact"/>
              <w:jc w:val="center"/>
              <w:rPr>
                <w:rFonts w:ascii="仿宋_GB2312" w:hAnsi="仿宋_GB2312" w:cs="仿宋_GB2312"/>
                <w:sz w:val="24"/>
              </w:rPr>
            </w:pPr>
            <w:r>
              <w:rPr>
                <w:rFonts w:hint="eastAsia" w:ascii="仿宋_GB2312" w:hAnsi="仿宋_GB2312" w:cs="仿宋_GB2312"/>
                <w:sz w:val="24"/>
              </w:rPr>
              <w:t>个人获评丰泽区2023年 “三争行动”先进个人</w:t>
            </w:r>
          </w:p>
        </w:tc>
        <w:tc>
          <w:tcPr>
            <w:tcW w:w="707" w:type="dxa"/>
            <w:vAlign w:val="center"/>
          </w:tcPr>
          <w:p>
            <w:pPr>
              <w:tabs>
                <w:tab w:val="left" w:pos="8085"/>
              </w:tabs>
              <w:spacing w:line="300" w:lineRule="exact"/>
              <w:jc w:val="center"/>
              <w:rPr>
                <w:rFonts w:ascii="仿宋_GB2312" w:hAnsi="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7" w:hRule="exact"/>
        </w:trPr>
        <w:tc>
          <w:tcPr>
            <w:tcW w:w="587" w:type="dxa"/>
            <w:vAlign w:val="center"/>
          </w:tcPr>
          <w:p>
            <w:pPr>
              <w:tabs>
                <w:tab w:val="left" w:pos="8085"/>
              </w:tabs>
              <w:spacing w:line="300" w:lineRule="exact"/>
              <w:jc w:val="center"/>
              <w:rPr>
                <w:rFonts w:ascii="仿宋_GB2312" w:hAnsi="仿宋_GB2312" w:cs="仿宋_GB2312"/>
                <w:sz w:val="24"/>
              </w:rPr>
            </w:pPr>
            <w:r>
              <w:rPr>
                <w:rFonts w:hint="eastAsia" w:ascii="仿宋_GB2312" w:hAnsi="仿宋_GB2312" w:cs="仿宋_GB2312"/>
                <w:sz w:val="24"/>
              </w:rPr>
              <w:t>5</w:t>
            </w:r>
          </w:p>
        </w:tc>
        <w:tc>
          <w:tcPr>
            <w:tcW w:w="939" w:type="dxa"/>
            <w:vAlign w:val="center"/>
          </w:tcPr>
          <w:p>
            <w:pPr>
              <w:tabs>
                <w:tab w:val="left" w:pos="8085"/>
              </w:tabs>
              <w:spacing w:line="300" w:lineRule="exact"/>
              <w:jc w:val="center"/>
              <w:rPr>
                <w:rFonts w:hint="eastAsia" w:ascii="仿宋_GB2312" w:hAnsi="仿宋_GB2312" w:cs="仿宋_GB2312"/>
                <w:sz w:val="24"/>
              </w:rPr>
            </w:pPr>
            <w:r>
              <w:rPr>
                <w:rFonts w:hint="eastAsia" w:ascii="仿宋_GB2312" w:hAnsi="仿宋_GB2312" w:cs="仿宋_GB2312"/>
                <w:sz w:val="24"/>
              </w:rPr>
              <w:t>洛江区人</w:t>
            </w:r>
            <w:r>
              <w:rPr>
                <w:rFonts w:hint="eastAsia" w:ascii="仿宋_GB2312" w:hAnsi="仿宋_GB2312" w:cs="仿宋_GB2312"/>
                <w:sz w:val="24"/>
                <w:lang w:eastAsia="zh-CN"/>
              </w:rPr>
              <w:t>力资源和</w:t>
            </w:r>
            <w:r>
              <w:rPr>
                <w:rFonts w:hint="eastAsia" w:ascii="仿宋_GB2312" w:hAnsi="仿宋_GB2312" w:cs="仿宋_GB2312"/>
                <w:sz w:val="24"/>
              </w:rPr>
              <w:t>社</w:t>
            </w:r>
            <w:r>
              <w:rPr>
                <w:rFonts w:hint="eastAsia" w:ascii="仿宋_GB2312" w:hAnsi="仿宋_GB2312" w:cs="仿宋_GB2312"/>
                <w:sz w:val="24"/>
                <w:lang w:eastAsia="zh-CN"/>
              </w:rPr>
              <w:t>会保障</w:t>
            </w:r>
            <w:r>
              <w:rPr>
                <w:rFonts w:hint="eastAsia" w:ascii="仿宋_GB2312" w:hAnsi="仿宋_GB2312" w:cs="仿宋_GB2312"/>
                <w:sz w:val="24"/>
              </w:rPr>
              <w:t>局</w:t>
            </w:r>
          </w:p>
        </w:tc>
        <w:tc>
          <w:tcPr>
            <w:tcW w:w="939" w:type="dxa"/>
            <w:vAlign w:val="center"/>
          </w:tcPr>
          <w:p>
            <w:pPr>
              <w:tabs>
                <w:tab w:val="left" w:pos="8085"/>
              </w:tabs>
              <w:spacing w:line="300" w:lineRule="exact"/>
              <w:jc w:val="center"/>
              <w:rPr>
                <w:rFonts w:hint="eastAsia" w:ascii="仿宋_GB2312" w:hAnsi="仿宋_GB2312" w:cs="仿宋_GB2312"/>
                <w:sz w:val="24"/>
              </w:rPr>
            </w:pPr>
            <w:r>
              <w:rPr>
                <w:rFonts w:hint="eastAsia" w:ascii="仿宋_GB2312" w:hAnsi="仿宋_GB2312" w:cs="仿宋_GB2312"/>
                <w:sz w:val="24"/>
              </w:rPr>
              <w:t>洛江区人</w:t>
            </w:r>
            <w:r>
              <w:rPr>
                <w:rFonts w:hint="eastAsia" w:ascii="仿宋_GB2312" w:hAnsi="仿宋_GB2312" w:cs="仿宋_GB2312"/>
                <w:sz w:val="24"/>
                <w:lang w:eastAsia="zh-CN"/>
              </w:rPr>
              <w:t>力资源和</w:t>
            </w:r>
            <w:r>
              <w:rPr>
                <w:rFonts w:hint="eastAsia" w:ascii="仿宋_GB2312" w:hAnsi="仿宋_GB2312" w:cs="仿宋_GB2312"/>
                <w:sz w:val="24"/>
              </w:rPr>
              <w:t>社</w:t>
            </w:r>
            <w:r>
              <w:rPr>
                <w:rFonts w:hint="eastAsia" w:ascii="仿宋_GB2312" w:hAnsi="仿宋_GB2312" w:cs="仿宋_GB2312"/>
                <w:sz w:val="24"/>
                <w:lang w:eastAsia="zh-CN"/>
              </w:rPr>
              <w:t>会保障</w:t>
            </w:r>
            <w:r>
              <w:rPr>
                <w:rFonts w:hint="eastAsia" w:ascii="仿宋_GB2312" w:hAnsi="仿宋_GB2312" w:cs="仿宋_GB2312"/>
                <w:sz w:val="24"/>
              </w:rPr>
              <w:t>局</w:t>
            </w:r>
          </w:p>
        </w:tc>
        <w:tc>
          <w:tcPr>
            <w:tcW w:w="939" w:type="dxa"/>
            <w:vAlign w:val="center"/>
          </w:tcPr>
          <w:p>
            <w:pPr>
              <w:tabs>
                <w:tab w:val="left" w:pos="8085"/>
              </w:tabs>
              <w:spacing w:line="300" w:lineRule="exact"/>
              <w:jc w:val="center"/>
              <w:rPr>
                <w:rFonts w:ascii="仿宋_GB2312" w:hAnsi="仿宋_GB2312" w:cs="仿宋_GB2312"/>
                <w:sz w:val="24"/>
              </w:rPr>
            </w:pPr>
            <w:r>
              <w:rPr>
                <w:rFonts w:hint="eastAsia" w:ascii="仿宋_GB2312" w:hAnsi="仿宋_GB2312" w:cs="仿宋_GB2312"/>
                <w:sz w:val="24"/>
              </w:rPr>
              <w:t>陈隽雯</w:t>
            </w:r>
          </w:p>
        </w:tc>
        <w:tc>
          <w:tcPr>
            <w:tcW w:w="816" w:type="dxa"/>
            <w:vAlign w:val="center"/>
          </w:tcPr>
          <w:p>
            <w:pPr>
              <w:tabs>
                <w:tab w:val="left" w:pos="8085"/>
              </w:tabs>
              <w:spacing w:line="300" w:lineRule="exact"/>
              <w:jc w:val="center"/>
              <w:rPr>
                <w:rFonts w:hint="eastAsia" w:ascii="仿宋_GB2312" w:hAnsi="仿宋_GB2312" w:eastAsia="仿宋_GB2312" w:cs="仿宋_GB2312"/>
                <w:sz w:val="24"/>
                <w:lang w:eastAsia="zh-CN"/>
              </w:rPr>
            </w:pPr>
            <w:r>
              <w:rPr>
                <w:rFonts w:hint="eastAsia" w:ascii="仿宋_GB2312" w:hAnsi="仿宋_GB2312" w:cs="仿宋_GB2312"/>
                <w:sz w:val="24"/>
                <w:lang w:eastAsia="zh-CN"/>
              </w:rPr>
              <w:t>行政机关</w:t>
            </w:r>
          </w:p>
        </w:tc>
        <w:tc>
          <w:tcPr>
            <w:tcW w:w="885" w:type="dxa"/>
            <w:vAlign w:val="center"/>
          </w:tcPr>
          <w:p>
            <w:pPr>
              <w:tabs>
                <w:tab w:val="left" w:pos="8085"/>
              </w:tabs>
              <w:spacing w:line="300" w:lineRule="exact"/>
              <w:jc w:val="center"/>
              <w:rPr>
                <w:rFonts w:ascii="仿宋_GB2312" w:hAnsi="仿宋_GB2312" w:cs="仿宋_GB2312"/>
                <w:sz w:val="24"/>
              </w:rPr>
            </w:pPr>
            <w:r>
              <w:rPr>
                <w:rFonts w:hint="eastAsia" w:ascii="仿宋_GB2312" w:hAnsi="仿宋_GB2312" w:cs="仿宋_GB2312"/>
                <w:sz w:val="24"/>
              </w:rPr>
              <w:t>副局长、三级主任科员</w:t>
            </w:r>
          </w:p>
        </w:tc>
        <w:tc>
          <w:tcPr>
            <w:tcW w:w="6066" w:type="dxa"/>
            <w:vAlign w:val="center"/>
          </w:tcPr>
          <w:p>
            <w:pPr>
              <w:spacing w:line="300" w:lineRule="exact"/>
              <w:ind w:firstLine="480" w:firstLineChars="200"/>
              <w:jc w:val="left"/>
              <w:rPr>
                <w:rFonts w:ascii="仿宋_GB2312" w:hAnsi="仿宋_GB2312" w:cs="仿宋_GB2312"/>
                <w:sz w:val="24"/>
              </w:rPr>
            </w:pPr>
            <w:r>
              <w:rPr>
                <w:rFonts w:hint="eastAsia" w:ascii="仿宋_GB2312" w:hAnsi="仿宋_GB2312" w:cs="仿宋_GB2312"/>
                <w:sz w:val="24"/>
              </w:rPr>
              <w:t>该同志任职9年来，深耕人社岗位、履职尽责、实绩突出。民生保障工作扎实有力，持续扩大养老、工伤保险参保覆盖面，基本养老保险参保率曾连续三年位居全市前三。人才引育工作成效明显，持续强化高端人才培育引进，省、市级高层次人才增速逐年提升，累计获批省级博士后创新实践基地1家、多项市级人才试点平台。创新构建“筑基+赋能+护航”全周期技能人才培养体系，成功入选省、市人社优化营商环境典型案例。积极服务全国博创赛，完成专家推荐、博士后团队参赛、企业合作对接及项目落地转化等工作。政务服务效能持续提升，扎实推进“智慧社保”平台建设，实现19个社区便民服务点全覆盖，相关经验获《中国组织人事报》刊载。持续优化营商环境，“人策匹配机器人”超额完成年度任务，高层次人才培育增长率全市靠前。严谨规范开展事业单位岗位管理、职称评聘、招聘调配、考核奖惩及档案管理等工作，保障人事工作平稳有序开展。</w:t>
            </w:r>
          </w:p>
        </w:tc>
        <w:tc>
          <w:tcPr>
            <w:tcW w:w="1470" w:type="dxa"/>
            <w:vAlign w:val="center"/>
          </w:tcPr>
          <w:p>
            <w:pPr>
              <w:tabs>
                <w:tab w:val="left" w:pos="8085"/>
              </w:tabs>
              <w:spacing w:line="300" w:lineRule="exact"/>
              <w:jc w:val="center"/>
              <w:rPr>
                <w:rFonts w:ascii="仿宋_GB2312" w:hAnsi="仿宋_GB2312" w:cs="仿宋_GB2312"/>
                <w:sz w:val="24"/>
              </w:rPr>
            </w:pPr>
            <w:r>
              <w:rPr>
                <w:rFonts w:hint="eastAsia" w:ascii="仿宋_GB2312" w:hAnsi="仿宋_GB2312" w:cs="仿宋_GB2312"/>
                <w:sz w:val="24"/>
              </w:rPr>
              <w:t>2022年9月获评“泉州市洛江区2019-2021年度（第十届）精神文明建设先进工作者”；2022年6月、2023年7月、2025年6月获洛江区委、区政府“嘉奖”奖励。</w:t>
            </w:r>
          </w:p>
        </w:tc>
        <w:tc>
          <w:tcPr>
            <w:tcW w:w="707" w:type="dxa"/>
            <w:vAlign w:val="center"/>
          </w:tcPr>
          <w:p>
            <w:pPr>
              <w:tabs>
                <w:tab w:val="left" w:pos="8085"/>
              </w:tabs>
              <w:spacing w:line="300" w:lineRule="exact"/>
              <w:jc w:val="center"/>
              <w:rPr>
                <w:rFonts w:ascii="仿宋_GB2312" w:hAnsi="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4" w:hRule="exact"/>
        </w:trPr>
        <w:tc>
          <w:tcPr>
            <w:tcW w:w="587" w:type="dxa"/>
            <w:vAlign w:val="center"/>
          </w:tcPr>
          <w:p>
            <w:pPr>
              <w:tabs>
                <w:tab w:val="left" w:pos="8085"/>
              </w:tabs>
              <w:spacing w:line="300" w:lineRule="exact"/>
              <w:jc w:val="center"/>
              <w:rPr>
                <w:rFonts w:ascii="仿宋_GB2312" w:hAnsi="仿宋_GB2312" w:cs="仿宋_GB2312"/>
                <w:sz w:val="24"/>
              </w:rPr>
            </w:pPr>
            <w:r>
              <w:rPr>
                <w:rFonts w:hint="eastAsia" w:ascii="仿宋_GB2312" w:hAnsi="仿宋_GB2312" w:cs="仿宋_GB2312"/>
                <w:sz w:val="24"/>
              </w:rPr>
              <w:t>6</w:t>
            </w:r>
          </w:p>
        </w:tc>
        <w:tc>
          <w:tcPr>
            <w:tcW w:w="939" w:type="dxa"/>
            <w:vAlign w:val="center"/>
          </w:tcPr>
          <w:p>
            <w:pPr>
              <w:tabs>
                <w:tab w:val="left" w:pos="8085"/>
              </w:tabs>
              <w:spacing w:line="300" w:lineRule="exact"/>
              <w:jc w:val="center"/>
              <w:rPr>
                <w:rFonts w:hint="eastAsia" w:ascii="仿宋_GB2312" w:hAnsi="仿宋_GB2312" w:cs="仿宋_GB2312"/>
                <w:sz w:val="24"/>
              </w:rPr>
            </w:pPr>
            <w:r>
              <w:rPr>
                <w:rFonts w:hint="eastAsia" w:ascii="仿宋_GB2312" w:hAnsi="仿宋_GB2312" w:cs="仿宋_GB2312"/>
                <w:sz w:val="24"/>
              </w:rPr>
              <w:t>泉港区人</w:t>
            </w:r>
            <w:r>
              <w:rPr>
                <w:rFonts w:hint="eastAsia" w:ascii="仿宋_GB2312" w:hAnsi="仿宋_GB2312" w:cs="仿宋_GB2312"/>
                <w:sz w:val="24"/>
                <w:lang w:eastAsia="zh-CN"/>
              </w:rPr>
              <w:t>力资源和</w:t>
            </w:r>
            <w:r>
              <w:rPr>
                <w:rFonts w:hint="eastAsia" w:ascii="仿宋_GB2312" w:hAnsi="仿宋_GB2312" w:cs="仿宋_GB2312"/>
                <w:sz w:val="24"/>
              </w:rPr>
              <w:t>社</w:t>
            </w:r>
            <w:r>
              <w:rPr>
                <w:rFonts w:hint="eastAsia" w:ascii="仿宋_GB2312" w:hAnsi="仿宋_GB2312" w:cs="仿宋_GB2312"/>
                <w:sz w:val="24"/>
                <w:lang w:eastAsia="zh-CN"/>
              </w:rPr>
              <w:t>会保障</w:t>
            </w:r>
            <w:r>
              <w:rPr>
                <w:rFonts w:hint="eastAsia" w:ascii="仿宋_GB2312" w:hAnsi="仿宋_GB2312" w:cs="仿宋_GB2312"/>
                <w:sz w:val="24"/>
              </w:rPr>
              <w:t>局</w:t>
            </w:r>
          </w:p>
        </w:tc>
        <w:tc>
          <w:tcPr>
            <w:tcW w:w="939" w:type="dxa"/>
            <w:vAlign w:val="center"/>
          </w:tcPr>
          <w:p>
            <w:pPr>
              <w:tabs>
                <w:tab w:val="left" w:pos="8085"/>
              </w:tabs>
              <w:spacing w:line="300" w:lineRule="exact"/>
              <w:jc w:val="center"/>
              <w:rPr>
                <w:rFonts w:hint="eastAsia" w:ascii="仿宋_GB2312" w:hAnsi="仿宋_GB2312" w:cs="仿宋_GB2312"/>
                <w:sz w:val="24"/>
              </w:rPr>
            </w:pPr>
            <w:r>
              <w:rPr>
                <w:rFonts w:hint="eastAsia" w:ascii="仿宋_GB2312" w:hAnsi="仿宋_GB2312" w:cs="仿宋_GB2312"/>
                <w:sz w:val="24"/>
              </w:rPr>
              <w:t>泉港区人</w:t>
            </w:r>
            <w:r>
              <w:rPr>
                <w:rFonts w:hint="eastAsia" w:ascii="仿宋_GB2312" w:hAnsi="仿宋_GB2312" w:cs="仿宋_GB2312"/>
                <w:sz w:val="24"/>
                <w:lang w:eastAsia="zh-CN"/>
              </w:rPr>
              <w:t>力资源和</w:t>
            </w:r>
            <w:r>
              <w:rPr>
                <w:rFonts w:hint="eastAsia" w:ascii="仿宋_GB2312" w:hAnsi="仿宋_GB2312" w:cs="仿宋_GB2312"/>
                <w:sz w:val="24"/>
              </w:rPr>
              <w:t>社</w:t>
            </w:r>
            <w:r>
              <w:rPr>
                <w:rFonts w:hint="eastAsia" w:ascii="仿宋_GB2312" w:hAnsi="仿宋_GB2312" w:cs="仿宋_GB2312"/>
                <w:sz w:val="24"/>
                <w:lang w:eastAsia="zh-CN"/>
              </w:rPr>
              <w:t>会保障</w:t>
            </w:r>
            <w:r>
              <w:rPr>
                <w:rFonts w:hint="eastAsia" w:ascii="仿宋_GB2312" w:hAnsi="仿宋_GB2312" w:cs="仿宋_GB2312"/>
                <w:sz w:val="24"/>
              </w:rPr>
              <w:t>局</w:t>
            </w:r>
          </w:p>
        </w:tc>
        <w:tc>
          <w:tcPr>
            <w:tcW w:w="939" w:type="dxa"/>
            <w:vAlign w:val="center"/>
          </w:tcPr>
          <w:p>
            <w:pPr>
              <w:tabs>
                <w:tab w:val="left" w:pos="8085"/>
              </w:tabs>
              <w:spacing w:line="300" w:lineRule="exact"/>
              <w:jc w:val="center"/>
              <w:rPr>
                <w:rFonts w:ascii="仿宋_GB2312" w:hAnsi="仿宋_GB2312" w:cs="仿宋_GB2312"/>
                <w:sz w:val="24"/>
              </w:rPr>
            </w:pPr>
            <w:r>
              <w:rPr>
                <w:rFonts w:hint="eastAsia" w:ascii="仿宋_GB2312" w:hAnsi="仿宋_GB2312" w:cs="仿宋_GB2312"/>
                <w:sz w:val="24"/>
              </w:rPr>
              <w:t>王辉团</w:t>
            </w:r>
          </w:p>
        </w:tc>
        <w:tc>
          <w:tcPr>
            <w:tcW w:w="816" w:type="dxa"/>
            <w:vAlign w:val="center"/>
          </w:tcPr>
          <w:p>
            <w:pPr>
              <w:tabs>
                <w:tab w:val="left" w:pos="8085"/>
              </w:tabs>
              <w:spacing w:line="300" w:lineRule="exact"/>
              <w:jc w:val="center"/>
              <w:rPr>
                <w:rFonts w:hint="eastAsia" w:ascii="仿宋_GB2312" w:hAnsi="仿宋_GB2312" w:eastAsia="仿宋_GB2312" w:cs="仿宋_GB2312"/>
                <w:sz w:val="24"/>
                <w:lang w:eastAsia="zh-CN"/>
              </w:rPr>
            </w:pPr>
            <w:r>
              <w:rPr>
                <w:rFonts w:hint="eastAsia" w:ascii="仿宋_GB2312" w:hAnsi="仿宋_GB2312" w:cs="仿宋_GB2312"/>
                <w:sz w:val="24"/>
                <w:lang w:eastAsia="zh-CN"/>
              </w:rPr>
              <w:t>行政机关</w:t>
            </w:r>
          </w:p>
        </w:tc>
        <w:tc>
          <w:tcPr>
            <w:tcW w:w="885" w:type="dxa"/>
            <w:vAlign w:val="center"/>
          </w:tcPr>
          <w:p>
            <w:pPr>
              <w:tabs>
                <w:tab w:val="left" w:pos="8085"/>
              </w:tabs>
              <w:spacing w:line="300" w:lineRule="exact"/>
              <w:jc w:val="center"/>
              <w:rPr>
                <w:rFonts w:ascii="仿宋_GB2312" w:hAnsi="仿宋_GB2312" w:cs="仿宋_GB2312"/>
                <w:sz w:val="24"/>
              </w:rPr>
            </w:pPr>
            <w:r>
              <w:rPr>
                <w:rFonts w:hint="eastAsia" w:ascii="仿宋_GB2312" w:hAnsi="仿宋_GB2312" w:cs="仿宋_GB2312"/>
                <w:sz w:val="24"/>
              </w:rPr>
              <w:t>副局长、二级主任科员</w:t>
            </w:r>
          </w:p>
        </w:tc>
        <w:tc>
          <w:tcPr>
            <w:tcW w:w="6066" w:type="dxa"/>
            <w:vAlign w:val="center"/>
          </w:tcPr>
          <w:p>
            <w:pPr>
              <w:spacing w:line="300" w:lineRule="exact"/>
              <w:ind w:firstLine="480" w:firstLineChars="200"/>
              <w:jc w:val="left"/>
              <w:rPr>
                <w:rFonts w:ascii="仿宋_GB2312" w:hAnsi="仿宋_GB2312" w:cs="仿宋_GB2312"/>
                <w:sz w:val="24"/>
              </w:rPr>
            </w:pPr>
            <w:r>
              <w:rPr>
                <w:rFonts w:hint="eastAsia" w:ascii="仿宋_GB2312" w:hAnsi="仿宋_GB2312" w:cs="仿宋_GB2312"/>
                <w:sz w:val="24"/>
              </w:rPr>
              <w:t>该同志政治立场坚定，始终以高标准强化理论武装，深入学习贯彻党的创新理论，严守政治纪律与意识形态工作责任制，在思想上政治上行动上同党中央保持高度一致，政治素养过硬。深耕人事人才工作十余年，五年来组织事业单位编内招聘788人、编外130余人；深化职称制度改革，优化岗位设置方案180余个，评审专技人才1600余人，创新建立职称周转池制度，拓宽人才晋升通道，工作成效显著。主动担当作为，扎根一线推进石化安控区拆迁项目，助推这一建国以来全省最大的单体拆迁项目顺利基本完成。妥善处置来信来访，用心服务群众与专业技术人才，以实干打通服务“最后一公里”。认真履行“一岗双责”，常态化开展廉政提醒，严格落实中央八项规定精神，清白做人、干净做事，树立了清正廉洁的干部形象。</w:t>
            </w:r>
          </w:p>
        </w:tc>
        <w:tc>
          <w:tcPr>
            <w:tcW w:w="1470" w:type="dxa"/>
            <w:vAlign w:val="center"/>
          </w:tcPr>
          <w:p>
            <w:pPr>
              <w:tabs>
                <w:tab w:val="left" w:pos="8085"/>
              </w:tabs>
              <w:spacing w:line="300" w:lineRule="exact"/>
              <w:jc w:val="center"/>
              <w:rPr>
                <w:rFonts w:ascii="仿宋_GB2312" w:hAnsi="仿宋_GB2312" w:cs="仿宋_GB2312"/>
                <w:sz w:val="24"/>
              </w:rPr>
            </w:pPr>
            <w:r>
              <w:rPr>
                <w:rFonts w:hint="eastAsia" w:ascii="仿宋_GB2312" w:hAnsi="仿宋_GB2312" w:cs="仿宋_GB2312"/>
                <w:sz w:val="24"/>
              </w:rPr>
              <w:t>2024年9月被中共泉港区委、泉港区人民政府记三等功奖励。</w:t>
            </w:r>
          </w:p>
        </w:tc>
        <w:tc>
          <w:tcPr>
            <w:tcW w:w="707" w:type="dxa"/>
            <w:vAlign w:val="center"/>
          </w:tcPr>
          <w:p>
            <w:pPr>
              <w:tabs>
                <w:tab w:val="left" w:pos="8085"/>
              </w:tabs>
              <w:spacing w:line="300" w:lineRule="exact"/>
              <w:jc w:val="center"/>
              <w:rPr>
                <w:rFonts w:ascii="仿宋_GB2312" w:hAnsi="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3" w:hRule="exact"/>
        </w:trPr>
        <w:tc>
          <w:tcPr>
            <w:tcW w:w="587" w:type="dxa"/>
            <w:vAlign w:val="center"/>
          </w:tcPr>
          <w:p>
            <w:pPr>
              <w:tabs>
                <w:tab w:val="left" w:pos="8085"/>
              </w:tabs>
              <w:spacing w:line="300" w:lineRule="exact"/>
              <w:jc w:val="center"/>
              <w:rPr>
                <w:rFonts w:ascii="仿宋_GB2312" w:hAnsi="仿宋_GB2312" w:cs="仿宋_GB2312"/>
                <w:sz w:val="24"/>
              </w:rPr>
            </w:pPr>
            <w:r>
              <w:rPr>
                <w:rFonts w:hint="eastAsia" w:ascii="仿宋_GB2312" w:hAnsi="仿宋_GB2312" w:cs="仿宋_GB2312"/>
                <w:sz w:val="24"/>
              </w:rPr>
              <w:t>7</w:t>
            </w:r>
          </w:p>
        </w:tc>
        <w:tc>
          <w:tcPr>
            <w:tcW w:w="939" w:type="dxa"/>
            <w:vAlign w:val="center"/>
          </w:tcPr>
          <w:p>
            <w:pPr>
              <w:tabs>
                <w:tab w:val="left" w:pos="8085"/>
              </w:tabs>
              <w:spacing w:line="300" w:lineRule="exact"/>
              <w:jc w:val="center"/>
              <w:rPr>
                <w:rFonts w:hint="eastAsia" w:ascii="仿宋_GB2312" w:hAnsi="仿宋_GB2312" w:eastAsia="仿宋_GB2312" w:cs="仿宋_GB2312"/>
                <w:sz w:val="24"/>
                <w:lang w:eastAsia="zh-CN"/>
              </w:rPr>
            </w:pPr>
            <w:r>
              <w:rPr>
                <w:rFonts w:hint="eastAsia" w:ascii="仿宋_GB2312" w:hAnsi="仿宋_GB2312" w:cs="仿宋_GB2312"/>
                <w:sz w:val="24"/>
                <w:lang w:eastAsia="zh-CN"/>
              </w:rPr>
              <w:t>石狮市人力资源和社会保障局</w:t>
            </w:r>
          </w:p>
        </w:tc>
        <w:tc>
          <w:tcPr>
            <w:tcW w:w="939" w:type="dxa"/>
            <w:vAlign w:val="center"/>
          </w:tcPr>
          <w:p>
            <w:pPr>
              <w:tabs>
                <w:tab w:val="left" w:pos="8085"/>
              </w:tabs>
              <w:spacing w:line="300" w:lineRule="exact"/>
              <w:jc w:val="center"/>
              <w:rPr>
                <w:rFonts w:hint="eastAsia" w:ascii="仿宋_GB2312" w:hAnsi="仿宋_GB2312" w:cs="仿宋_GB2312"/>
                <w:sz w:val="24"/>
              </w:rPr>
            </w:pPr>
            <w:r>
              <w:rPr>
                <w:rFonts w:hint="eastAsia" w:ascii="仿宋_GB2312" w:hAnsi="仿宋_GB2312" w:cs="仿宋_GB2312"/>
                <w:sz w:val="24"/>
                <w:lang w:eastAsia="zh-CN"/>
              </w:rPr>
              <w:t>石狮市人力资源和社会保障局</w:t>
            </w:r>
          </w:p>
        </w:tc>
        <w:tc>
          <w:tcPr>
            <w:tcW w:w="939" w:type="dxa"/>
            <w:vAlign w:val="center"/>
          </w:tcPr>
          <w:p>
            <w:pPr>
              <w:tabs>
                <w:tab w:val="left" w:pos="8085"/>
              </w:tabs>
              <w:spacing w:line="300" w:lineRule="exact"/>
              <w:jc w:val="center"/>
              <w:rPr>
                <w:rFonts w:ascii="仿宋_GB2312" w:hAnsi="仿宋_GB2312" w:cs="仿宋_GB2312"/>
                <w:sz w:val="24"/>
              </w:rPr>
            </w:pPr>
            <w:r>
              <w:rPr>
                <w:rFonts w:hint="eastAsia" w:ascii="仿宋_GB2312" w:hAnsi="仿宋_GB2312" w:cs="仿宋_GB2312"/>
                <w:sz w:val="24"/>
              </w:rPr>
              <w:t>王名体</w:t>
            </w:r>
          </w:p>
        </w:tc>
        <w:tc>
          <w:tcPr>
            <w:tcW w:w="816" w:type="dxa"/>
            <w:vAlign w:val="center"/>
          </w:tcPr>
          <w:p>
            <w:pPr>
              <w:tabs>
                <w:tab w:val="left" w:pos="8085"/>
              </w:tabs>
              <w:spacing w:line="300" w:lineRule="exact"/>
              <w:jc w:val="center"/>
              <w:rPr>
                <w:rFonts w:ascii="仿宋_GB2312" w:hAnsi="仿宋_GB2312" w:cs="仿宋_GB2312"/>
                <w:sz w:val="24"/>
              </w:rPr>
            </w:pPr>
            <w:r>
              <w:rPr>
                <w:rFonts w:hint="eastAsia" w:ascii="仿宋_GB2312" w:hAnsi="仿宋_GB2312" w:cs="仿宋_GB2312"/>
                <w:sz w:val="24"/>
                <w:lang w:eastAsia="zh-CN"/>
              </w:rPr>
              <w:t>行政机关</w:t>
            </w:r>
            <w:r>
              <w:rPr>
                <w:rFonts w:hint="eastAsia" w:ascii="仿宋_GB2312" w:hAnsi="仿宋_GB2312" w:cs="仿宋_GB2312"/>
                <w:sz w:val="24"/>
              </w:rPr>
              <w:t>局</w:t>
            </w:r>
          </w:p>
        </w:tc>
        <w:tc>
          <w:tcPr>
            <w:tcW w:w="885" w:type="dxa"/>
            <w:vAlign w:val="center"/>
          </w:tcPr>
          <w:p>
            <w:pPr>
              <w:tabs>
                <w:tab w:val="left" w:pos="8085"/>
              </w:tabs>
              <w:spacing w:line="300" w:lineRule="exact"/>
              <w:jc w:val="center"/>
              <w:rPr>
                <w:rFonts w:ascii="仿宋_GB2312" w:hAnsi="仿宋_GB2312" w:cs="仿宋_GB2312"/>
                <w:sz w:val="24"/>
              </w:rPr>
            </w:pPr>
            <w:r>
              <w:rPr>
                <w:rFonts w:hint="eastAsia" w:ascii="仿宋_GB2312" w:hAnsi="仿宋_GB2312" w:cs="仿宋_GB2312"/>
                <w:sz w:val="24"/>
              </w:rPr>
              <w:t>副局长、三级主任科员</w:t>
            </w:r>
          </w:p>
        </w:tc>
        <w:tc>
          <w:tcPr>
            <w:tcW w:w="6066" w:type="dxa"/>
            <w:vAlign w:val="center"/>
          </w:tcPr>
          <w:p>
            <w:pPr>
              <w:spacing w:line="300" w:lineRule="exact"/>
              <w:jc w:val="left"/>
              <w:rPr>
                <w:rFonts w:ascii="仿宋_GB2312" w:hAnsi="仿宋_GB2312" w:cs="仿宋_GB2312"/>
                <w:sz w:val="24"/>
              </w:rPr>
            </w:pPr>
            <w:r>
              <w:rPr>
                <w:rFonts w:hint="eastAsia" w:ascii="仿宋_GB2312" w:hAnsi="仿宋_GB2312" w:cs="仿宋_GB2312"/>
                <w:sz w:val="24"/>
                <w:lang w:val="en-US" w:eastAsia="zh-CN"/>
              </w:rPr>
              <w:t xml:space="preserve">    </w:t>
            </w:r>
            <w:r>
              <w:rPr>
                <w:rFonts w:hint="eastAsia" w:ascii="仿宋_GB2312" w:hAnsi="仿宋_GB2312" w:cs="仿宋_GB2312"/>
                <w:sz w:val="24"/>
              </w:rPr>
              <w:t>该同志政治过硬，业务精通，牵头推动多项人社领域改革创新。一是推动产教融合突破。全程负责福建技师学院石狮校区落地，协调解决跨部门难题，实现首批招生300人。二是创新人才评价机制。在全省率先制定电商人才积分评定标准，被省人社厅推广。三是深化社保改革。2024年率先开展城乡居民养老保险困难群体集体补助试点，2025年推动实现9个镇（街道）村级试点全覆盖，做法获省厅推广并登载《泉州晚报》头版。四是优化就业服务。牵头建立“狮城零工市场”及小程序，制定高校毕业生留石政策。石狮人力资源产业园获评泉州市级产业园并获补助80万元。五是狠抓全民参保。2025年推动企业养老保险精准扩面1.1万余人，发放社保待遇8.68亿元。执行力强，实绩突出。</w:t>
            </w:r>
          </w:p>
        </w:tc>
        <w:tc>
          <w:tcPr>
            <w:tcW w:w="1470" w:type="dxa"/>
            <w:vAlign w:val="center"/>
          </w:tcPr>
          <w:p>
            <w:pPr>
              <w:tabs>
                <w:tab w:val="left" w:pos="8085"/>
              </w:tabs>
              <w:spacing w:line="300" w:lineRule="exact"/>
              <w:jc w:val="center"/>
              <w:rPr>
                <w:rFonts w:ascii="仿宋_GB2312" w:hAnsi="仿宋_GB2312" w:cs="仿宋_GB2312"/>
                <w:sz w:val="24"/>
              </w:rPr>
            </w:pPr>
          </w:p>
        </w:tc>
        <w:tc>
          <w:tcPr>
            <w:tcW w:w="707" w:type="dxa"/>
            <w:vAlign w:val="center"/>
          </w:tcPr>
          <w:p>
            <w:pPr>
              <w:tabs>
                <w:tab w:val="left" w:pos="8085"/>
              </w:tabs>
              <w:spacing w:line="300" w:lineRule="exact"/>
              <w:jc w:val="center"/>
              <w:rPr>
                <w:rFonts w:ascii="仿宋_GB2312" w:hAnsi="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8" w:hRule="exact"/>
        </w:trPr>
        <w:tc>
          <w:tcPr>
            <w:tcW w:w="587" w:type="dxa"/>
            <w:vAlign w:val="center"/>
          </w:tcPr>
          <w:p>
            <w:pPr>
              <w:tabs>
                <w:tab w:val="left" w:pos="8085"/>
              </w:tabs>
              <w:spacing w:line="300" w:lineRule="exact"/>
              <w:jc w:val="center"/>
              <w:rPr>
                <w:rFonts w:ascii="仿宋_GB2312" w:hAnsi="仿宋_GB2312" w:cs="仿宋_GB2312"/>
                <w:sz w:val="24"/>
              </w:rPr>
            </w:pPr>
            <w:r>
              <w:rPr>
                <w:rFonts w:hint="eastAsia" w:ascii="仿宋_GB2312" w:hAnsi="仿宋_GB2312" w:cs="仿宋_GB2312"/>
                <w:sz w:val="24"/>
              </w:rPr>
              <w:t>8</w:t>
            </w:r>
          </w:p>
        </w:tc>
        <w:tc>
          <w:tcPr>
            <w:tcW w:w="939" w:type="dxa"/>
            <w:vAlign w:val="center"/>
          </w:tcPr>
          <w:p>
            <w:pPr>
              <w:tabs>
                <w:tab w:val="left" w:pos="8085"/>
              </w:tabs>
              <w:spacing w:line="300" w:lineRule="exact"/>
              <w:jc w:val="center"/>
              <w:rPr>
                <w:rFonts w:hint="eastAsia" w:ascii="仿宋_GB2312" w:hAnsi="仿宋_GB2312" w:eastAsia="仿宋_GB2312" w:cs="仿宋_GB2312"/>
                <w:sz w:val="24"/>
                <w:lang w:eastAsia="zh-CN"/>
              </w:rPr>
            </w:pPr>
            <w:r>
              <w:rPr>
                <w:rFonts w:hint="eastAsia" w:ascii="仿宋_GB2312" w:hAnsi="仿宋_GB2312" w:cs="仿宋_GB2312"/>
                <w:sz w:val="24"/>
                <w:lang w:eastAsia="zh-CN"/>
              </w:rPr>
              <w:t>晋江市人民政府</w:t>
            </w:r>
          </w:p>
        </w:tc>
        <w:tc>
          <w:tcPr>
            <w:tcW w:w="939" w:type="dxa"/>
            <w:vAlign w:val="center"/>
          </w:tcPr>
          <w:p>
            <w:pPr>
              <w:tabs>
                <w:tab w:val="left" w:pos="8085"/>
              </w:tabs>
              <w:spacing w:line="300" w:lineRule="exact"/>
              <w:jc w:val="center"/>
              <w:rPr>
                <w:rFonts w:hint="eastAsia" w:ascii="仿宋_GB2312" w:hAnsi="仿宋_GB2312" w:cs="仿宋_GB2312"/>
                <w:sz w:val="24"/>
              </w:rPr>
            </w:pPr>
            <w:r>
              <w:rPr>
                <w:rFonts w:hint="eastAsia" w:ascii="仿宋_GB2312" w:hAnsi="仿宋_GB2312" w:cs="仿宋_GB2312"/>
                <w:sz w:val="24"/>
                <w:lang w:eastAsia="zh-CN"/>
              </w:rPr>
              <w:t>晋江市人力资源和社会保障局</w:t>
            </w:r>
          </w:p>
        </w:tc>
        <w:tc>
          <w:tcPr>
            <w:tcW w:w="939" w:type="dxa"/>
            <w:vAlign w:val="center"/>
          </w:tcPr>
          <w:p>
            <w:pPr>
              <w:tabs>
                <w:tab w:val="left" w:pos="8085"/>
              </w:tabs>
              <w:spacing w:line="300" w:lineRule="exact"/>
              <w:jc w:val="center"/>
              <w:rPr>
                <w:rFonts w:ascii="仿宋_GB2312" w:hAnsi="仿宋_GB2312" w:cs="仿宋_GB2312"/>
                <w:sz w:val="24"/>
              </w:rPr>
            </w:pPr>
            <w:r>
              <w:rPr>
                <w:rFonts w:hint="eastAsia" w:ascii="仿宋_GB2312" w:hAnsi="仿宋_GB2312" w:cs="仿宋_GB2312"/>
                <w:sz w:val="24"/>
              </w:rPr>
              <w:t>柯发音</w:t>
            </w:r>
          </w:p>
        </w:tc>
        <w:tc>
          <w:tcPr>
            <w:tcW w:w="816" w:type="dxa"/>
            <w:vAlign w:val="center"/>
          </w:tcPr>
          <w:p>
            <w:pPr>
              <w:tabs>
                <w:tab w:val="left" w:pos="8085"/>
              </w:tabs>
              <w:spacing w:line="300" w:lineRule="exact"/>
              <w:jc w:val="center"/>
              <w:rPr>
                <w:rFonts w:hint="eastAsia" w:ascii="仿宋_GB2312" w:hAnsi="仿宋_GB2312" w:eastAsia="仿宋_GB2312" w:cs="仿宋_GB2312"/>
                <w:sz w:val="24"/>
                <w:lang w:eastAsia="zh-CN"/>
              </w:rPr>
            </w:pPr>
            <w:r>
              <w:rPr>
                <w:rFonts w:hint="eastAsia" w:ascii="仿宋_GB2312" w:hAnsi="仿宋_GB2312" w:cs="仿宋_GB2312"/>
                <w:sz w:val="24"/>
                <w:lang w:eastAsia="zh-CN"/>
              </w:rPr>
              <w:t>行政机关</w:t>
            </w:r>
          </w:p>
        </w:tc>
        <w:tc>
          <w:tcPr>
            <w:tcW w:w="885" w:type="dxa"/>
            <w:vAlign w:val="center"/>
          </w:tcPr>
          <w:p>
            <w:pPr>
              <w:tabs>
                <w:tab w:val="left" w:pos="8085"/>
              </w:tabs>
              <w:spacing w:line="300" w:lineRule="exact"/>
              <w:jc w:val="center"/>
              <w:rPr>
                <w:rFonts w:ascii="仿宋_GB2312" w:hAnsi="仿宋_GB2312" w:cs="仿宋_GB2312"/>
                <w:sz w:val="24"/>
              </w:rPr>
            </w:pPr>
            <w:r>
              <w:rPr>
                <w:rFonts w:hint="eastAsia" w:ascii="仿宋_GB2312" w:hAnsi="仿宋_GB2312" w:cs="仿宋_GB2312"/>
                <w:sz w:val="24"/>
              </w:rPr>
              <w:t>党组书记、局长</w:t>
            </w:r>
          </w:p>
        </w:tc>
        <w:tc>
          <w:tcPr>
            <w:tcW w:w="6066" w:type="dxa"/>
            <w:vAlign w:val="center"/>
          </w:tcPr>
          <w:p>
            <w:pPr>
              <w:spacing w:line="300" w:lineRule="exact"/>
              <w:jc w:val="both"/>
              <w:rPr>
                <w:rFonts w:ascii="仿宋_GB2312" w:hAnsi="仿宋_GB2312" w:cs="仿宋_GB2312"/>
                <w:sz w:val="24"/>
              </w:rPr>
            </w:pPr>
            <w:r>
              <w:rPr>
                <w:rFonts w:hint="eastAsia" w:ascii="仿宋_GB2312" w:hAnsi="仿宋_GB2312" w:cs="仿宋_GB2312"/>
                <w:sz w:val="24"/>
                <w:lang w:val="en-US" w:eastAsia="zh-CN"/>
              </w:rPr>
              <w:t xml:space="preserve">    </w:t>
            </w:r>
            <w:r>
              <w:rPr>
                <w:rFonts w:hint="eastAsia" w:ascii="仿宋_GB2312" w:hAnsi="仿宋_GB2312" w:cs="仿宋_GB2312"/>
                <w:sz w:val="24"/>
              </w:rPr>
              <w:t>该同志作为人社领域“排头兵”，带领全局在稳就业、强保障、聚人才、护权益、强党建五大领域统筹发力。稳就业方面，出台稳工政策，发放补助8292万元，评选207名“引工大使”，新增城镇就业13.8万人。强保障方面，率先建成县域“智慧人社”系统，深化社银合作构建“15分钟服务圈”，参保规模超122万人次，政务满意度达99.9%。聚人才方面，累计认定高层次人才超1.5万名，发放补贴1.8亿元；成功承办全国博士后大赛、全省职业技能大赛及连续五年校企对接会。护权益方面，创新四级调解体系，调解率85%以上，获评全国突出调解组织；首创劳动保障救急慈善基金和工伤认定事务中心。强党建方面，注重队伍练兵比武，获评全国法治人社示范单位、全省人社系统先进集体，绩效考评连年优秀。</w:t>
            </w:r>
          </w:p>
        </w:tc>
        <w:tc>
          <w:tcPr>
            <w:tcW w:w="1470" w:type="dxa"/>
            <w:vAlign w:val="center"/>
          </w:tcPr>
          <w:p>
            <w:pPr>
              <w:tabs>
                <w:tab w:val="left" w:pos="8085"/>
              </w:tabs>
              <w:spacing w:line="300" w:lineRule="exact"/>
              <w:jc w:val="center"/>
              <w:rPr>
                <w:rFonts w:ascii="仿宋_GB2312" w:hAnsi="仿宋_GB2312" w:cs="仿宋_GB2312"/>
                <w:sz w:val="24"/>
              </w:rPr>
            </w:pPr>
            <w:r>
              <w:rPr>
                <w:rFonts w:hint="eastAsia" w:ascii="仿宋_GB2312" w:hAnsi="仿宋_GB2312" w:cs="仿宋_GB2312"/>
                <w:sz w:val="24"/>
              </w:rPr>
              <w:t>2024年12月被福建省第一届职业技能大赛组委会授予优秀工作者称号；2026年2月被泉州市委、市政府给予记三等功。</w:t>
            </w:r>
          </w:p>
        </w:tc>
        <w:tc>
          <w:tcPr>
            <w:tcW w:w="707" w:type="dxa"/>
            <w:vAlign w:val="center"/>
          </w:tcPr>
          <w:p>
            <w:pPr>
              <w:tabs>
                <w:tab w:val="left" w:pos="8085"/>
              </w:tabs>
              <w:spacing w:line="300" w:lineRule="exact"/>
              <w:jc w:val="center"/>
              <w:rPr>
                <w:rFonts w:ascii="仿宋_GB2312" w:hAnsi="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7" w:hRule="exact"/>
        </w:trPr>
        <w:tc>
          <w:tcPr>
            <w:tcW w:w="587" w:type="dxa"/>
            <w:vAlign w:val="center"/>
          </w:tcPr>
          <w:p>
            <w:pPr>
              <w:tabs>
                <w:tab w:val="left" w:pos="8085"/>
              </w:tabs>
              <w:spacing w:line="300" w:lineRule="exact"/>
              <w:jc w:val="center"/>
              <w:rPr>
                <w:rFonts w:ascii="仿宋_GB2312" w:hAnsi="仿宋_GB2312" w:cs="仿宋_GB2312"/>
                <w:sz w:val="24"/>
              </w:rPr>
            </w:pPr>
            <w:r>
              <w:rPr>
                <w:rFonts w:hint="eastAsia" w:ascii="仿宋_GB2312" w:hAnsi="仿宋_GB2312" w:cs="仿宋_GB2312"/>
                <w:sz w:val="24"/>
              </w:rPr>
              <w:t>9</w:t>
            </w:r>
          </w:p>
        </w:tc>
        <w:tc>
          <w:tcPr>
            <w:tcW w:w="939" w:type="dxa"/>
            <w:vAlign w:val="center"/>
          </w:tcPr>
          <w:p>
            <w:pPr>
              <w:tabs>
                <w:tab w:val="left" w:pos="8085"/>
              </w:tabs>
              <w:spacing w:line="300" w:lineRule="exact"/>
              <w:jc w:val="center"/>
              <w:rPr>
                <w:rFonts w:hint="eastAsia" w:ascii="仿宋_GB2312" w:hAnsi="仿宋_GB2312" w:eastAsia="仿宋_GB2312" w:cs="仿宋_GB2312"/>
                <w:bCs/>
                <w:sz w:val="24"/>
                <w:lang w:eastAsia="zh-CN"/>
              </w:rPr>
            </w:pPr>
            <w:r>
              <w:rPr>
                <w:rFonts w:hint="eastAsia" w:ascii="仿宋_GB2312" w:hAnsi="仿宋_GB2312" w:cs="仿宋_GB2312"/>
                <w:bCs/>
                <w:sz w:val="24"/>
                <w:lang w:eastAsia="zh-CN"/>
              </w:rPr>
              <w:t>南安市人民政府</w:t>
            </w:r>
          </w:p>
        </w:tc>
        <w:tc>
          <w:tcPr>
            <w:tcW w:w="939" w:type="dxa"/>
            <w:vAlign w:val="center"/>
          </w:tcPr>
          <w:p>
            <w:pPr>
              <w:tabs>
                <w:tab w:val="left" w:pos="8085"/>
              </w:tabs>
              <w:spacing w:line="300" w:lineRule="exact"/>
              <w:jc w:val="center"/>
              <w:rPr>
                <w:rFonts w:hint="eastAsia" w:ascii="仿宋_GB2312" w:hAnsi="仿宋_GB2312" w:eastAsia="仿宋_GB2312" w:cs="仿宋_GB2312"/>
                <w:bCs/>
                <w:sz w:val="24"/>
                <w:lang w:eastAsia="zh-CN"/>
              </w:rPr>
            </w:pPr>
            <w:r>
              <w:rPr>
                <w:rFonts w:hint="eastAsia" w:ascii="仿宋_GB2312" w:hAnsi="仿宋_GB2312" w:cs="仿宋_GB2312"/>
                <w:bCs/>
                <w:sz w:val="24"/>
                <w:lang w:eastAsia="zh-CN"/>
              </w:rPr>
              <w:t>南安市人力资源和社会保障局</w:t>
            </w:r>
          </w:p>
        </w:tc>
        <w:tc>
          <w:tcPr>
            <w:tcW w:w="939" w:type="dxa"/>
            <w:vAlign w:val="center"/>
          </w:tcPr>
          <w:p>
            <w:pPr>
              <w:tabs>
                <w:tab w:val="left" w:pos="8085"/>
              </w:tabs>
              <w:spacing w:line="300" w:lineRule="exact"/>
              <w:jc w:val="center"/>
              <w:rPr>
                <w:rFonts w:ascii="仿宋_GB2312" w:hAnsi="仿宋_GB2312" w:cs="仿宋_GB2312"/>
                <w:sz w:val="24"/>
              </w:rPr>
            </w:pPr>
            <w:r>
              <w:rPr>
                <w:rFonts w:hint="eastAsia" w:ascii="仿宋_GB2312" w:hAnsi="仿宋_GB2312" w:cs="仿宋_GB2312"/>
                <w:bCs/>
                <w:sz w:val="24"/>
              </w:rPr>
              <w:t>黄志军</w:t>
            </w:r>
          </w:p>
        </w:tc>
        <w:tc>
          <w:tcPr>
            <w:tcW w:w="816" w:type="dxa"/>
            <w:vAlign w:val="center"/>
          </w:tcPr>
          <w:p>
            <w:pPr>
              <w:tabs>
                <w:tab w:val="left" w:pos="8085"/>
              </w:tabs>
              <w:spacing w:line="300" w:lineRule="exact"/>
              <w:jc w:val="center"/>
              <w:rPr>
                <w:rFonts w:hint="eastAsia" w:ascii="仿宋_GB2312" w:hAnsi="仿宋_GB2312" w:eastAsia="仿宋_GB2312" w:cs="仿宋_GB2312"/>
                <w:sz w:val="24"/>
                <w:lang w:eastAsia="zh-CN"/>
              </w:rPr>
            </w:pPr>
            <w:r>
              <w:rPr>
                <w:rFonts w:hint="eastAsia" w:ascii="仿宋_GB2312" w:hAnsi="仿宋_GB2312" w:cs="仿宋_GB2312"/>
                <w:sz w:val="24"/>
                <w:lang w:eastAsia="zh-CN"/>
              </w:rPr>
              <w:t>行政机关</w:t>
            </w:r>
          </w:p>
        </w:tc>
        <w:tc>
          <w:tcPr>
            <w:tcW w:w="885" w:type="dxa"/>
            <w:vAlign w:val="center"/>
          </w:tcPr>
          <w:p>
            <w:pPr>
              <w:tabs>
                <w:tab w:val="left" w:pos="8085"/>
              </w:tabs>
              <w:spacing w:line="300" w:lineRule="exact"/>
              <w:jc w:val="center"/>
              <w:rPr>
                <w:rFonts w:ascii="仿宋_GB2312" w:hAnsi="仿宋_GB2312" w:cs="仿宋_GB2312"/>
                <w:sz w:val="24"/>
              </w:rPr>
            </w:pPr>
            <w:r>
              <w:rPr>
                <w:rFonts w:hint="eastAsia" w:ascii="仿宋_GB2312" w:hAnsi="仿宋_GB2312" w:cs="仿宋_GB2312"/>
                <w:sz w:val="24"/>
              </w:rPr>
              <w:t>党组书记、局长</w:t>
            </w:r>
          </w:p>
        </w:tc>
        <w:tc>
          <w:tcPr>
            <w:tcW w:w="6066" w:type="dxa"/>
            <w:vAlign w:val="center"/>
          </w:tcPr>
          <w:p>
            <w:pPr>
              <w:tabs>
                <w:tab w:val="left" w:pos="8085"/>
              </w:tabs>
              <w:spacing w:line="300" w:lineRule="exact"/>
              <w:ind w:firstLine="480" w:firstLineChars="200"/>
              <w:jc w:val="both"/>
              <w:rPr>
                <w:rFonts w:ascii="仿宋_GB2312" w:hAnsi="仿宋_GB2312" w:cs="仿宋_GB2312"/>
                <w:sz w:val="24"/>
              </w:rPr>
            </w:pPr>
            <w:r>
              <w:rPr>
                <w:rFonts w:hint="eastAsia" w:ascii="仿宋_GB2312" w:hAnsi="仿宋_GB2312" w:cs="仿宋_GB2312"/>
                <w:sz w:val="24"/>
              </w:rPr>
              <w:t>该同志在人社系统耕耘6余年，以身作则、敢为人先，在招工引才、劳动维权、社会保障等领域创新思路，全省率先推行人才积分制、高校引才推介、小语种人才培养、三保三险合一等多项改革举措，前瞻布局各类引才平台近300个，带队赴省内外举办招聘活动近500场，有效解决了“企业用工难、毕业生就业难”问题。多次在全国、全省人社系统工作会上作典型发言，“四位一体”引才模式获全国优秀就业服务案例，为县域高质量充分就业贡献“南安方案”。人民日报、央视新闻、学习强国平台等主流媒体先后关注报道南安就业人才工作，所在单位先后荣获“全国清理整顿人力资源市场秩序专项执法行动取得突出成绩的单位”“福建省人力资源和社会保障系统先进集体”等荣誉称号。</w:t>
            </w:r>
          </w:p>
        </w:tc>
        <w:tc>
          <w:tcPr>
            <w:tcW w:w="1470" w:type="dxa"/>
            <w:vAlign w:val="center"/>
          </w:tcPr>
          <w:p>
            <w:pPr>
              <w:tabs>
                <w:tab w:val="left" w:pos="8085"/>
              </w:tabs>
              <w:spacing w:line="300" w:lineRule="exact"/>
              <w:jc w:val="center"/>
              <w:rPr>
                <w:rFonts w:ascii="仿宋_GB2312" w:hAnsi="仿宋_GB2312" w:cs="仿宋_GB2312"/>
                <w:sz w:val="24"/>
              </w:rPr>
            </w:pPr>
          </w:p>
        </w:tc>
        <w:tc>
          <w:tcPr>
            <w:tcW w:w="707" w:type="dxa"/>
            <w:vAlign w:val="center"/>
          </w:tcPr>
          <w:p>
            <w:pPr>
              <w:tabs>
                <w:tab w:val="left" w:pos="8085"/>
              </w:tabs>
              <w:spacing w:line="300" w:lineRule="exact"/>
              <w:jc w:val="center"/>
              <w:rPr>
                <w:rFonts w:ascii="仿宋_GB2312" w:hAnsi="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2" w:hRule="exact"/>
        </w:trPr>
        <w:tc>
          <w:tcPr>
            <w:tcW w:w="587" w:type="dxa"/>
            <w:vAlign w:val="center"/>
          </w:tcPr>
          <w:p>
            <w:pPr>
              <w:tabs>
                <w:tab w:val="left" w:pos="8085"/>
              </w:tabs>
              <w:spacing w:line="300" w:lineRule="exact"/>
              <w:jc w:val="center"/>
              <w:rPr>
                <w:rFonts w:ascii="仿宋_GB2312" w:hAnsi="仿宋_GB2312" w:cs="仿宋_GB2312"/>
                <w:sz w:val="24"/>
              </w:rPr>
            </w:pPr>
            <w:r>
              <w:rPr>
                <w:rFonts w:hint="eastAsia" w:ascii="仿宋_GB2312" w:hAnsi="仿宋_GB2312" w:cs="仿宋_GB2312"/>
                <w:sz w:val="24"/>
              </w:rPr>
              <w:t>10</w:t>
            </w:r>
          </w:p>
        </w:tc>
        <w:tc>
          <w:tcPr>
            <w:tcW w:w="939" w:type="dxa"/>
            <w:vAlign w:val="center"/>
          </w:tcPr>
          <w:p>
            <w:pPr>
              <w:tabs>
                <w:tab w:val="left" w:pos="8085"/>
              </w:tabs>
              <w:spacing w:line="300" w:lineRule="exact"/>
              <w:jc w:val="center"/>
              <w:rPr>
                <w:rFonts w:hint="eastAsia" w:ascii="仿宋_GB2312" w:hAnsi="仿宋_GB2312" w:eastAsia="仿宋_GB2312" w:cs="仿宋_GB2312"/>
                <w:sz w:val="24"/>
                <w:lang w:eastAsia="zh-CN"/>
              </w:rPr>
            </w:pPr>
            <w:r>
              <w:rPr>
                <w:rFonts w:hint="eastAsia" w:ascii="仿宋_GB2312" w:hAnsi="仿宋_GB2312" w:cs="仿宋_GB2312"/>
                <w:sz w:val="24"/>
                <w:lang w:eastAsia="zh-CN"/>
              </w:rPr>
              <w:t>永春县人力资源和社会保障局</w:t>
            </w:r>
          </w:p>
        </w:tc>
        <w:tc>
          <w:tcPr>
            <w:tcW w:w="939" w:type="dxa"/>
            <w:vAlign w:val="center"/>
          </w:tcPr>
          <w:p>
            <w:pPr>
              <w:tabs>
                <w:tab w:val="left" w:pos="8085"/>
              </w:tabs>
              <w:spacing w:line="300" w:lineRule="exact"/>
              <w:jc w:val="center"/>
              <w:rPr>
                <w:rFonts w:hint="eastAsia" w:ascii="仿宋_GB2312" w:hAnsi="仿宋_GB2312" w:cs="仿宋_GB2312"/>
                <w:sz w:val="24"/>
              </w:rPr>
            </w:pPr>
            <w:r>
              <w:rPr>
                <w:rFonts w:hint="eastAsia" w:ascii="仿宋_GB2312" w:hAnsi="仿宋_GB2312" w:cs="仿宋_GB2312"/>
                <w:sz w:val="24"/>
              </w:rPr>
              <w:t>永春县劳动者权益保障中心</w:t>
            </w:r>
          </w:p>
        </w:tc>
        <w:tc>
          <w:tcPr>
            <w:tcW w:w="939" w:type="dxa"/>
            <w:vAlign w:val="center"/>
          </w:tcPr>
          <w:p>
            <w:pPr>
              <w:tabs>
                <w:tab w:val="left" w:pos="8085"/>
              </w:tabs>
              <w:spacing w:line="300" w:lineRule="exact"/>
              <w:jc w:val="center"/>
              <w:rPr>
                <w:rFonts w:ascii="仿宋_GB2312" w:hAnsi="仿宋_GB2312" w:cs="仿宋_GB2312"/>
                <w:sz w:val="24"/>
              </w:rPr>
            </w:pPr>
            <w:r>
              <w:rPr>
                <w:rFonts w:hint="eastAsia" w:ascii="仿宋_GB2312" w:hAnsi="仿宋_GB2312" w:cs="仿宋_GB2312"/>
                <w:sz w:val="24"/>
              </w:rPr>
              <w:t>周小岩</w:t>
            </w:r>
          </w:p>
        </w:tc>
        <w:tc>
          <w:tcPr>
            <w:tcW w:w="816" w:type="dxa"/>
            <w:vAlign w:val="center"/>
          </w:tcPr>
          <w:p>
            <w:pPr>
              <w:tabs>
                <w:tab w:val="left" w:pos="8085"/>
              </w:tabs>
              <w:spacing w:line="300" w:lineRule="exact"/>
              <w:jc w:val="center"/>
              <w:rPr>
                <w:rFonts w:hint="eastAsia" w:ascii="仿宋_GB2312" w:hAnsi="仿宋_GB2312" w:eastAsia="仿宋_GB2312" w:cs="仿宋_GB2312"/>
                <w:sz w:val="24"/>
                <w:lang w:eastAsia="zh-CN"/>
              </w:rPr>
            </w:pPr>
            <w:r>
              <w:rPr>
                <w:rFonts w:hint="eastAsia" w:ascii="仿宋_GB2312" w:hAnsi="仿宋_GB2312" w:cs="仿宋_GB2312"/>
                <w:sz w:val="24"/>
                <w:lang w:eastAsia="zh-CN"/>
              </w:rPr>
              <w:t>事业单位</w:t>
            </w:r>
          </w:p>
        </w:tc>
        <w:tc>
          <w:tcPr>
            <w:tcW w:w="885" w:type="dxa"/>
            <w:vAlign w:val="center"/>
          </w:tcPr>
          <w:p>
            <w:pPr>
              <w:tabs>
                <w:tab w:val="left" w:pos="8085"/>
              </w:tabs>
              <w:spacing w:line="300" w:lineRule="exact"/>
              <w:jc w:val="center"/>
              <w:rPr>
                <w:rFonts w:ascii="仿宋_GB2312" w:hAnsi="仿宋_GB2312" w:cs="仿宋_GB2312"/>
                <w:sz w:val="24"/>
              </w:rPr>
            </w:pPr>
            <w:r>
              <w:rPr>
                <w:rFonts w:hint="eastAsia" w:ascii="仿宋_GB2312" w:hAnsi="仿宋_GB2312" w:cs="仿宋_GB2312"/>
                <w:sz w:val="24"/>
              </w:rPr>
              <w:t>永春县劳动者权益保障中心负责人（技师）</w:t>
            </w:r>
          </w:p>
        </w:tc>
        <w:tc>
          <w:tcPr>
            <w:tcW w:w="6066" w:type="dxa"/>
            <w:vAlign w:val="center"/>
          </w:tcPr>
          <w:p>
            <w:pPr>
              <w:spacing w:line="300" w:lineRule="exact"/>
              <w:ind w:firstLine="480" w:firstLineChars="200"/>
              <w:jc w:val="both"/>
              <w:rPr>
                <w:rFonts w:ascii="仿宋_GB2312" w:hAnsi="仿宋_GB2312" w:cs="仿宋_GB2312"/>
                <w:sz w:val="24"/>
              </w:rPr>
            </w:pPr>
            <w:r>
              <w:rPr>
                <w:rFonts w:hint="eastAsia" w:ascii="仿宋_GB2312" w:hAnsi="仿宋_GB2312" w:cs="仿宋_GB2312"/>
                <w:sz w:val="24"/>
              </w:rPr>
              <w:t>该同志自担任县劳动者权益保障中心（原县劳动保障监察大队）负责人以来,始终坚守劳动保障维权一线,以“守护劳动者权益、维护劳动关系和谐稳定”为己任,连续三年在保障农民工工资支付工作考核中被评为A级,代表福建迎接2025年度国务院治理欠薪考核实地调查组检查，以实际行动践行了“执法为民、服务发展”的理念。始终坚守劳动保障维权一线,以“守护劳动者权益、维护劳动关系和谐稳定”为己任,连续三年在保障农民工工资支付工作考核中被评为A级,代表福建迎接2025年度国务院治理欠薪考核实地调查组检查，以实际行动践行了“执法为民、服务发展”的理念。</w:t>
            </w:r>
          </w:p>
        </w:tc>
        <w:tc>
          <w:tcPr>
            <w:tcW w:w="1470" w:type="dxa"/>
            <w:vAlign w:val="center"/>
          </w:tcPr>
          <w:p>
            <w:pPr>
              <w:tabs>
                <w:tab w:val="left" w:pos="8085"/>
              </w:tabs>
              <w:spacing w:line="300" w:lineRule="exact"/>
              <w:jc w:val="center"/>
              <w:rPr>
                <w:rFonts w:ascii="黑体" w:hAnsi="Calibri" w:eastAsia="黑体"/>
                <w:sz w:val="24"/>
              </w:rPr>
            </w:pPr>
          </w:p>
        </w:tc>
        <w:tc>
          <w:tcPr>
            <w:tcW w:w="707" w:type="dxa"/>
            <w:vAlign w:val="center"/>
          </w:tcPr>
          <w:p>
            <w:pPr>
              <w:tabs>
                <w:tab w:val="left" w:pos="8085"/>
              </w:tabs>
              <w:spacing w:line="300" w:lineRule="exact"/>
              <w:jc w:val="center"/>
              <w:rPr>
                <w:rFonts w:ascii="黑体" w:hAnsi="Calibri" w:eastAsia="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2" w:hRule="exact"/>
        </w:trPr>
        <w:tc>
          <w:tcPr>
            <w:tcW w:w="587" w:type="dxa"/>
            <w:vAlign w:val="center"/>
          </w:tcPr>
          <w:p>
            <w:pPr>
              <w:tabs>
                <w:tab w:val="left" w:pos="8085"/>
              </w:tabs>
              <w:spacing w:line="300" w:lineRule="exact"/>
              <w:jc w:val="center"/>
              <w:rPr>
                <w:rFonts w:ascii="仿宋_GB2312" w:hAnsi="仿宋_GB2312" w:cs="仿宋_GB2312"/>
                <w:sz w:val="24"/>
              </w:rPr>
            </w:pPr>
            <w:r>
              <w:rPr>
                <w:rFonts w:hint="eastAsia" w:ascii="仿宋_GB2312" w:hAnsi="仿宋_GB2312" w:cs="仿宋_GB2312"/>
                <w:sz w:val="24"/>
              </w:rPr>
              <w:t>11</w:t>
            </w:r>
          </w:p>
        </w:tc>
        <w:tc>
          <w:tcPr>
            <w:tcW w:w="939" w:type="dxa"/>
            <w:vAlign w:val="center"/>
          </w:tcPr>
          <w:p>
            <w:pPr>
              <w:tabs>
                <w:tab w:val="left" w:pos="8085"/>
              </w:tabs>
              <w:spacing w:line="300" w:lineRule="exact"/>
              <w:jc w:val="center"/>
              <w:rPr>
                <w:rFonts w:hint="eastAsia" w:ascii="仿宋_GB2312" w:hAnsi="仿宋_GB2312" w:cs="仿宋_GB2312"/>
                <w:sz w:val="24"/>
              </w:rPr>
            </w:pPr>
            <w:r>
              <w:rPr>
                <w:rFonts w:hint="eastAsia" w:ascii="仿宋_GB2312" w:hAnsi="仿宋_GB2312" w:cs="仿宋_GB2312"/>
                <w:sz w:val="24"/>
              </w:rPr>
              <w:t>泉州台商投资区党群工作部</w:t>
            </w:r>
          </w:p>
        </w:tc>
        <w:tc>
          <w:tcPr>
            <w:tcW w:w="939" w:type="dxa"/>
            <w:vAlign w:val="center"/>
          </w:tcPr>
          <w:p>
            <w:pPr>
              <w:tabs>
                <w:tab w:val="left" w:pos="8085"/>
              </w:tabs>
              <w:spacing w:line="300" w:lineRule="exact"/>
              <w:jc w:val="center"/>
              <w:rPr>
                <w:rFonts w:hint="eastAsia" w:ascii="仿宋_GB2312" w:hAnsi="仿宋_GB2312" w:cs="仿宋_GB2312"/>
                <w:sz w:val="24"/>
              </w:rPr>
            </w:pPr>
            <w:r>
              <w:rPr>
                <w:rFonts w:hint="eastAsia" w:ascii="仿宋_GB2312" w:hAnsi="仿宋_GB2312" w:cs="仿宋_GB2312"/>
                <w:sz w:val="24"/>
              </w:rPr>
              <w:t>泉州台商投资区党群工作服务中心（人力资源服务中心）</w:t>
            </w:r>
          </w:p>
        </w:tc>
        <w:tc>
          <w:tcPr>
            <w:tcW w:w="939" w:type="dxa"/>
            <w:vAlign w:val="center"/>
          </w:tcPr>
          <w:p>
            <w:pPr>
              <w:tabs>
                <w:tab w:val="left" w:pos="8085"/>
              </w:tabs>
              <w:spacing w:line="300" w:lineRule="exact"/>
              <w:jc w:val="center"/>
              <w:rPr>
                <w:rFonts w:ascii="仿宋_GB2312" w:hAnsi="仿宋_GB2312" w:cs="仿宋_GB2312"/>
                <w:sz w:val="24"/>
              </w:rPr>
            </w:pPr>
            <w:r>
              <w:rPr>
                <w:rFonts w:hint="eastAsia" w:ascii="仿宋_GB2312" w:hAnsi="仿宋_GB2312" w:cs="仿宋_GB2312"/>
                <w:sz w:val="24"/>
              </w:rPr>
              <w:t>黄梦露</w:t>
            </w:r>
          </w:p>
        </w:tc>
        <w:tc>
          <w:tcPr>
            <w:tcW w:w="816" w:type="dxa"/>
            <w:vAlign w:val="center"/>
          </w:tcPr>
          <w:p>
            <w:pPr>
              <w:tabs>
                <w:tab w:val="left" w:pos="8085"/>
              </w:tabs>
              <w:spacing w:line="300" w:lineRule="exact"/>
              <w:jc w:val="center"/>
              <w:rPr>
                <w:rFonts w:hint="eastAsia" w:ascii="仿宋_GB2312" w:hAnsi="仿宋_GB2312" w:eastAsia="仿宋_GB2312" w:cs="仿宋_GB2312"/>
                <w:sz w:val="24"/>
                <w:lang w:eastAsia="zh-CN"/>
              </w:rPr>
            </w:pPr>
            <w:r>
              <w:rPr>
                <w:rFonts w:hint="eastAsia" w:ascii="仿宋_GB2312" w:hAnsi="仿宋_GB2312" w:cs="仿宋_GB2312"/>
                <w:sz w:val="24"/>
                <w:lang w:eastAsia="zh-CN"/>
              </w:rPr>
              <w:t>事业单位</w:t>
            </w:r>
          </w:p>
        </w:tc>
        <w:tc>
          <w:tcPr>
            <w:tcW w:w="885" w:type="dxa"/>
            <w:vAlign w:val="center"/>
          </w:tcPr>
          <w:p>
            <w:pPr>
              <w:tabs>
                <w:tab w:val="left" w:pos="8085"/>
              </w:tabs>
              <w:spacing w:line="300" w:lineRule="exact"/>
              <w:jc w:val="center"/>
              <w:rPr>
                <w:rFonts w:ascii="仿宋_GB2312" w:hAnsi="仿宋_GB2312" w:cs="仿宋_GB2312"/>
                <w:sz w:val="24"/>
              </w:rPr>
            </w:pPr>
            <w:r>
              <w:rPr>
                <w:rFonts w:hint="eastAsia" w:ascii="仿宋_GB2312" w:hAnsi="仿宋_GB2312" w:cs="仿宋_GB2312"/>
                <w:sz w:val="24"/>
              </w:rPr>
              <w:t>泉州台商投资区党群工作服务中心（人力资源服务中心）主任、人力资源管理师</w:t>
            </w:r>
          </w:p>
        </w:tc>
        <w:tc>
          <w:tcPr>
            <w:tcW w:w="6066" w:type="dxa"/>
            <w:vAlign w:val="center"/>
          </w:tcPr>
          <w:p>
            <w:pPr>
              <w:spacing w:line="300" w:lineRule="exact"/>
              <w:ind w:firstLine="480" w:firstLineChars="200"/>
              <w:jc w:val="both"/>
              <w:rPr>
                <w:rFonts w:ascii="仿宋_GB2312" w:hAnsi="仿宋_GB2312" w:cs="仿宋_GB2312"/>
                <w:sz w:val="24"/>
              </w:rPr>
            </w:pPr>
            <w:r>
              <w:rPr>
                <w:rFonts w:hint="eastAsia" w:ascii="仿宋_GB2312" w:hAnsi="仿宋_GB2312" w:cs="仿宋_GB2312"/>
                <w:sz w:val="24"/>
              </w:rPr>
              <w:t>该同志作为泉州台商投资区党群工作部人事人才科负责人，认真负责全区人事、人才工作。严把干部入口关，完善干部调配、职称聘任等制度，进一步规范了机关事业单位工作人员日常管理。人才工作取得较好成效，推动以台商区党工委、管委会名义设立“人才日”并连续三年组织“人才日”主题活动，优化人才服务保障，联合北京大学举办企业家人才研修班，承办全市高层次人才研修班等重点活动，撰写的多篇信息在《中国组织人事报》《福建组工信息》等刊物刊发，参与的调研课题获评全省党建课题调研三等奖。</w:t>
            </w:r>
          </w:p>
        </w:tc>
        <w:tc>
          <w:tcPr>
            <w:tcW w:w="1470" w:type="dxa"/>
            <w:vAlign w:val="center"/>
          </w:tcPr>
          <w:p>
            <w:pPr>
              <w:tabs>
                <w:tab w:val="left" w:pos="8085"/>
              </w:tabs>
              <w:spacing w:line="300" w:lineRule="exact"/>
              <w:jc w:val="center"/>
              <w:rPr>
                <w:rFonts w:ascii="黑体" w:hAnsi="Calibri" w:eastAsia="黑体"/>
                <w:sz w:val="24"/>
              </w:rPr>
            </w:pPr>
          </w:p>
        </w:tc>
        <w:tc>
          <w:tcPr>
            <w:tcW w:w="707" w:type="dxa"/>
            <w:vAlign w:val="center"/>
          </w:tcPr>
          <w:p>
            <w:pPr>
              <w:tabs>
                <w:tab w:val="left" w:pos="8085"/>
              </w:tabs>
              <w:spacing w:line="300" w:lineRule="exact"/>
              <w:jc w:val="center"/>
              <w:rPr>
                <w:rFonts w:ascii="黑体" w:hAnsi="Calibri" w:eastAsia="黑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2" w:hRule="exact"/>
        </w:trPr>
        <w:tc>
          <w:tcPr>
            <w:tcW w:w="587" w:type="dxa"/>
            <w:vAlign w:val="center"/>
          </w:tcPr>
          <w:p>
            <w:pPr>
              <w:tabs>
                <w:tab w:val="left" w:pos="8085"/>
              </w:tabs>
              <w:spacing w:line="300" w:lineRule="exact"/>
              <w:jc w:val="center"/>
              <w:rPr>
                <w:rFonts w:ascii="仿宋_GB2312" w:hAnsi="仿宋_GB2312" w:cs="仿宋_GB2312"/>
                <w:sz w:val="24"/>
              </w:rPr>
            </w:pPr>
            <w:r>
              <w:rPr>
                <w:rFonts w:hint="eastAsia" w:ascii="仿宋_GB2312" w:hAnsi="仿宋_GB2312" w:cs="仿宋_GB2312"/>
                <w:sz w:val="24"/>
              </w:rPr>
              <w:t>12</w:t>
            </w:r>
          </w:p>
        </w:tc>
        <w:tc>
          <w:tcPr>
            <w:tcW w:w="939" w:type="dxa"/>
            <w:vAlign w:val="center"/>
          </w:tcPr>
          <w:p>
            <w:pPr>
              <w:tabs>
                <w:tab w:val="left" w:pos="8085"/>
              </w:tabs>
              <w:spacing w:line="240" w:lineRule="exact"/>
              <w:rPr>
                <w:rFonts w:hint="eastAsia" w:ascii="仿宋_GB2312" w:hAnsi="Calibri"/>
                <w:sz w:val="24"/>
              </w:rPr>
            </w:pPr>
            <w:r>
              <w:rPr>
                <w:rFonts w:hint="eastAsia" w:ascii="仿宋_GB2312" w:hAnsi="Calibri"/>
                <w:sz w:val="24"/>
              </w:rPr>
              <w:t>泉州经济技术开发区社会事业局</w:t>
            </w:r>
          </w:p>
        </w:tc>
        <w:tc>
          <w:tcPr>
            <w:tcW w:w="939" w:type="dxa"/>
            <w:vAlign w:val="center"/>
          </w:tcPr>
          <w:p>
            <w:pPr>
              <w:tabs>
                <w:tab w:val="left" w:pos="8085"/>
              </w:tabs>
              <w:spacing w:line="240" w:lineRule="exact"/>
              <w:rPr>
                <w:rFonts w:hint="eastAsia" w:ascii="仿宋_GB2312" w:hAnsi="Calibri"/>
                <w:sz w:val="24"/>
              </w:rPr>
            </w:pPr>
            <w:r>
              <w:rPr>
                <w:rFonts w:hint="eastAsia" w:ascii="仿宋_GB2312" w:hAnsi="Calibri"/>
                <w:sz w:val="24"/>
              </w:rPr>
              <w:t>泉州经济技术开发区社会事业局</w:t>
            </w:r>
          </w:p>
        </w:tc>
        <w:tc>
          <w:tcPr>
            <w:tcW w:w="939" w:type="dxa"/>
            <w:vAlign w:val="center"/>
          </w:tcPr>
          <w:p>
            <w:pPr>
              <w:tabs>
                <w:tab w:val="left" w:pos="8085"/>
              </w:tabs>
              <w:spacing w:line="240" w:lineRule="exact"/>
              <w:rPr>
                <w:rFonts w:ascii="仿宋_GB2312" w:hAnsi="Calibri"/>
                <w:sz w:val="24"/>
              </w:rPr>
            </w:pPr>
            <w:r>
              <w:rPr>
                <w:rFonts w:hint="eastAsia" w:ascii="仿宋_GB2312" w:hAnsi="Calibri"/>
                <w:sz w:val="24"/>
              </w:rPr>
              <w:t>何钊伟</w:t>
            </w:r>
          </w:p>
        </w:tc>
        <w:tc>
          <w:tcPr>
            <w:tcW w:w="816" w:type="dxa"/>
            <w:vAlign w:val="center"/>
          </w:tcPr>
          <w:p>
            <w:pPr>
              <w:tabs>
                <w:tab w:val="left" w:pos="8085"/>
              </w:tabs>
              <w:spacing w:line="240" w:lineRule="exact"/>
              <w:jc w:val="center"/>
              <w:rPr>
                <w:rFonts w:hint="eastAsia" w:ascii="仿宋_GB2312" w:hAnsi="Calibri" w:eastAsia="仿宋_GB2312"/>
                <w:sz w:val="24"/>
                <w:lang w:eastAsia="zh-CN"/>
              </w:rPr>
            </w:pPr>
            <w:r>
              <w:rPr>
                <w:rFonts w:hint="eastAsia" w:ascii="仿宋_GB2312" w:hAnsi="Calibri"/>
                <w:sz w:val="24"/>
                <w:lang w:eastAsia="zh-CN"/>
              </w:rPr>
              <w:t>行政机关</w:t>
            </w:r>
          </w:p>
        </w:tc>
        <w:tc>
          <w:tcPr>
            <w:tcW w:w="885" w:type="dxa"/>
            <w:vAlign w:val="center"/>
          </w:tcPr>
          <w:p>
            <w:pPr>
              <w:tabs>
                <w:tab w:val="left" w:pos="8085"/>
              </w:tabs>
              <w:spacing w:line="240" w:lineRule="exact"/>
              <w:jc w:val="center"/>
              <w:rPr>
                <w:rFonts w:ascii="仿宋_GB2312" w:hAnsi="Calibri"/>
                <w:sz w:val="24"/>
              </w:rPr>
            </w:pPr>
            <w:r>
              <w:rPr>
                <w:rFonts w:hint="eastAsia" w:ascii="仿宋_GB2312" w:hAnsi="Calibri"/>
                <w:sz w:val="24"/>
              </w:rPr>
              <w:t>副局长</w:t>
            </w:r>
          </w:p>
        </w:tc>
        <w:tc>
          <w:tcPr>
            <w:tcW w:w="6066" w:type="dxa"/>
            <w:vAlign w:val="center"/>
          </w:tcPr>
          <w:p>
            <w:pPr>
              <w:spacing w:line="300" w:lineRule="exact"/>
              <w:jc w:val="center"/>
              <w:rPr>
                <w:rFonts w:ascii="仿宋_GB2312" w:hAnsi="仿宋_GB2312" w:cs="仿宋_GB2312"/>
                <w:sz w:val="24"/>
              </w:rPr>
            </w:pPr>
            <w:r>
              <w:rPr>
                <w:rFonts w:hint="eastAsia" w:ascii="仿宋_GB2312" w:hAnsi="仿宋_GB2312" w:cs="仿宋_GB2312"/>
                <w:sz w:val="24"/>
              </w:rPr>
              <w:t>该同志自2021年4月任职泉州经济技术开发区社会事业局副局长以来，深耕人社一线五年有余。任职期间，他牵头推进园区“全周期宠工”服务生态建设，统筹抓实惠企稳岗、就业服务、劳资维稳等重点工作，推动开发区人社服务提质增效。他持续健全稳工稳岗政策体系，精准兑现各类惠企补贴，切实为企业纾困解难、保障职工权益。他创新优化招工引才模式，全市首创“就业服务指南”智慧平台，开展线下多元招聘及跨省劳务协作，有效破解园区企业用工难题，特色服务模式获主流媒体推广，稳工留岗工作入选市级“三争”及效能典型案例。他健全劳动关系常态化管控机制，深入企业高效稳妥处置各类劳动纠纷，积极培育和谐用工氛围，持续筑牢稳定有序的用工环境。</w:t>
            </w:r>
          </w:p>
        </w:tc>
        <w:tc>
          <w:tcPr>
            <w:tcW w:w="1470" w:type="dxa"/>
            <w:vAlign w:val="center"/>
          </w:tcPr>
          <w:p>
            <w:pPr>
              <w:tabs>
                <w:tab w:val="left" w:pos="8085"/>
              </w:tabs>
              <w:spacing w:line="300" w:lineRule="exact"/>
              <w:jc w:val="center"/>
              <w:rPr>
                <w:rFonts w:ascii="黑体" w:hAnsi="Calibri" w:eastAsia="黑体"/>
                <w:sz w:val="24"/>
              </w:rPr>
            </w:pPr>
          </w:p>
        </w:tc>
        <w:tc>
          <w:tcPr>
            <w:tcW w:w="707" w:type="dxa"/>
            <w:vAlign w:val="center"/>
          </w:tcPr>
          <w:p>
            <w:pPr>
              <w:tabs>
                <w:tab w:val="left" w:pos="8085"/>
              </w:tabs>
              <w:spacing w:line="300" w:lineRule="exact"/>
              <w:jc w:val="center"/>
              <w:rPr>
                <w:rFonts w:ascii="黑体" w:hAnsi="Calibri" w:eastAsia="黑体"/>
                <w:sz w:val="24"/>
              </w:rPr>
            </w:pPr>
          </w:p>
        </w:tc>
      </w:tr>
    </w:tbl>
    <w:p>
      <w:pPr>
        <w:tabs>
          <w:tab w:val="left" w:pos="8085"/>
        </w:tabs>
        <w:spacing w:beforeLines="100" w:line="560" w:lineRule="exact"/>
        <w:rPr>
          <w:rFonts w:hint="eastAsia" w:ascii="仿宋_GB2312" w:hAnsi="仿宋_GB2312" w:cs="仿宋_GB2312"/>
          <w:sz w:val="24"/>
        </w:rPr>
      </w:pPr>
    </w:p>
    <w:p>
      <w:pPr>
        <w:tabs>
          <w:tab w:val="left" w:pos="8085"/>
        </w:tabs>
        <w:spacing w:beforeLines="100" w:line="560" w:lineRule="exact"/>
        <w:rPr>
          <w:rFonts w:hint="eastAsia" w:ascii="仿宋_GB2312" w:hAnsi="仿宋_GB2312" w:cs="仿宋_GB2312"/>
          <w:sz w:val="24"/>
        </w:rPr>
      </w:pPr>
    </w:p>
    <w:p>
      <w:pPr>
        <w:pStyle w:val="2"/>
      </w:pPr>
    </w:p>
    <w:p>
      <w:pPr>
        <w:pStyle w:val="2"/>
      </w:pPr>
    </w:p>
    <w:p>
      <w:pPr>
        <w:pStyle w:val="2"/>
      </w:pPr>
    </w:p>
    <w:p>
      <w:pPr>
        <w:pStyle w:val="2"/>
      </w:pPr>
    </w:p>
    <w:p>
      <w:pPr>
        <w:pStyle w:val="2"/>
      </w:pPr>
    </w:p>
    <w:p>
      <w:pPr>
        <w:pStyle w:val="2"/>
      </w:pPr>
    </w:p>
    <w:sectPr>
      <w:headerReference r:id="rId3" w:type="default"/>
      <w:footerReference r:id="rId4" w:type="default"/>
      <w:pgSz w:w="16838" w:h="11906" w:orient="landscape"/>
      <w:pgMar w:top="1134" w:right="1588" w:bottom="1134"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218"/>
  <w:displayHorizontalDrawingGridEvery w:val="0"/>
  <w:displayVerticalDrawingGridEvery w:val="2"/>
  <w:doNotShadeFormData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A5AC2"/>
    <w:rsid w:val="00036CB6"/>
    <w:rsid w:val="000C6517"/>
    <w:rsid w:val="000E76C0"/>
    <w:rsid w:val="0015243C"/>
    <w:rsid w:val="00152A0A"/>
    <w:rsid w:val="001703C5"/>
    <w:rsid w:val="00190378"/>
    <w:rsid w:val="0019742D"/>
    <w:rsid w:val="003A5AC2"/>
    <w:rsid w:val="003D63FB"/>
    <w:rsid w:val="004C5FB0"/>
    <w:rsid w:val="00585BD6"/>
    <w:rsid w:val="00586692"/>
    <w:rsid w:val="00592961"/>
    <w:rsid w:val="005F57A0"/>
    <w:rsid w:val="00684375"/>
    <w:rsid w:val="006869C8"/>
    <w:rsid w:val="006B2C5C"/>
    <w:rsid w:val="006B5C28"/>
    <w:rsid w:val="0070230F"/>
    <w:rsid w:val="00747FE0"/>
    <w:rsid w:val="007515C1"/>
    <w:rsid w:val="008D2D61"/>
    <w:rsid w:val="00955E1C"/>
    <w:rsid w:val="009574F6"/>
    <w:rsid w:val="0096600D"/>
    <w:rsid w:val="00A04279"/>
    <w:rsid w:val="00A361A2"/>
    <w:rsid w:val="00AF4637"/>
    <w:rsid w:val="00CB7D4B"/>
    <w:rsid w:val="00DB3F5D"/>
    <w:rsid w:val="00DE5E3F"/>
    <w:rsid w:val="00E14058"/>
    <w:rsid w:val="00E53911"/>
    <w:rsid w:val="00F26CAA"/>
    <w:rsid w:val="00F638C6"/>
    <w:rsid w:val="00FE6F37"/>
    <w:rsid w:val="073228C9"/>
    <w:rsid w:val="07DF0035"/>
    <w:rsid w:val="0C8F1359"/>
    <w:rsid w:val="12DF7E1A"/>
    <w:rsid w:val="13982333"/>
    <w:rsid w:val="13D5453C"/>
    <w:rsid w:val="144B713C"/>
    <w:rsid w:val="14FD7FAB"/>
    <w:rsid w:val="172C0FEB"/>
    <w:rsid w:val="17883E03"/>
    <w:rsid w:val="18491BE4"/>
    <w:rsid w:val="198220C6"/>
    <w:rsid w:val="1BBD5CEF"/>
    <w:rsid w:val="230B610D"/>
    <w:rsid w:val="2503628E"/>
    <w:rsid w:val="25741299"/>
    <w:rsid w:val="258848A3"/>
    <w:rsid w:val="32D70A63"/>
    <w:rsid w:val="33387117"/>
    <w:rsid w:val="335F7BC4"/>
    <w:rsid w:val="35C304EE"/>
    <w:rsid w:val="366053C6"/>
    <w:rsid w:val="378065EB"/>
    <w:rsid w:val="38A4425E"/>
    <w:rsid w:val="3F7B950B"/>
    <w:rsid w:val="3FFF0524"/>
    <w:rsid w:val="40B206B3"/>
    <w:rsid w:val="410D7365"/>
    <w:rsid w:val="451D4820"/>
    <w:rsid w:val="45E2287C"/>
    <w:rsid w:val="47C554E1"/>
    <w:rsid w:val="49A272A7"/>
    <w:rsid w:val="4A96396C"/>
    <w:rsid w:val="4DB72B71"/>
    <w:rsid w:val="518A579F"/>
    <w:rsid w:val="527A4DDA"/>
    <w:rsid w:val="545C7D24"/>
    <w:rsid w:val="553A1D4D"/>
    <w:rsid w:val="567D330E"/>
    <w:rsid w:val="57503F52"/>
    <w:rsid w:val="5A17324D"/>
    <w:rsid w:val="5CBB1C98"/>
    <w:rsid w:val="5FAD4CAB"/>
    <w:rsid w:val="60E65A85"/>
    <w:rsid w:val="65F7412E"/>
    <w:rsid w:val="67BE1F7F"/>
    <w:rsid w:val="69725190"/>
    <w:rsid w:val="6E7E7D06"/>
    <w:rsid w:val="6ED13E46"/>
    <w:rsid w:val="6FFFADB5"/>
    <w:rsid w:val="736C2C7E"/>
    <w:rsid w:val="744E2436"/>
    <w:rsid w:val="77B7007B"/>
    <w:rsid w:val="77FD5769"/>
    <w:rsid w:val="77FEE9A2"/>
    <w:rsid w:val="7AFA668D"/>
    <w:rsid w:val="7BAD011E"/>
    <w:rsid w:val="7BFF80A4"/>
    <w:rsid w:val="7CFC2F65"/>
    <w:rsid w:val="7F5C8C6A"/>
    <w:rsid w:val="7F5FA028"/>
    <w:rsid w:val="7FD69FB6"/>
    <w:rsid w:val="7FFF4644"/>
    <w:rsid w:val="7FFFFE24"/>
    <w:rsid w:val="9BEEA40A"/>
    <w:rsid w:val="B6DDF917"/>
    <w:rsid w:val="B7BB53BF"/>
    <w:rsid w:val="B7E3E28F"/>
    <w:rsid w:val="CEFF7EFB"/>
    <w:rsid w:val="CFCD29A9"/>
    <w:rsid w:val="CFFF0248"/>
    <w:rsid w:val="D6BBEAFB"/>
    <w:rsid w:val="D7C99429"/>
    <w:rsid w:val="D7FF1B37"/>
    <w:rsid w:val="DFBF27AE"/>
    <w:rsid w:val="E7FF5286"/>
    <w:rsid w:val="ECF3D2A9"/>
    <w:rsid w:val="EE7FA414"/>
    <w:rsid w:val="EF230DDF"/>
    <w:rsid w:val="FCA78205"/>
    <w:rsid w:val="FD7F7060"/>
    <w:rsid w:val="FEA77E17"/>
    <w:rsid w:val="FEBDE8BE"/>
    <w:rsid w:val="FFDFE440"/>
    <w:rsid w:val="FFDFEF94"/>
    <w:rsid w:val="FFFFA4C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qFormat="1" w:uiPriority="99"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unhideWhenUsed/>
    <w:qFormat/>
    <w:uiPriority w:val="99"/>
    <w:pPr>
      <w:widowControl w:val="0"/>
      <w:ind w:firstLine="420" w:firstLineChars="200"/>
      <w:jc w:val="both"/>
    </w:pPr>
    <w:rPr>
      <w:rFonts w:ascii="Times New Roman" w:hAnsi="Times New Roman" w:eastAsia="宋体" w:cs="Times New Roman"/>
      <w:kern w:val="2"/>
      <w:sz w:val="21"/>
      <w:szCs w:val="24"/>
      <w:lang w:val="en-US" w:eastAsia="zh-CN" w:bidi="ar-SA"/>
    </w:rPr>
  </w:style>
  <w:style w:type="paragraph" w:styleId="3">
    <w:name w:val="index 5"/>
    <w:basedOn w:val="1"/>
    <w:next w:val="1"/>
    <w:qFormat/>
    <w:uiPriority w:val="0"/>
    <w:rPr>
      <w:rFonts w:ascii="楷体_GB2312" w:eastAsia="楷体_GB2312"/>
      <w:szCs w:val="32"/>
    </w:rPr>
  </w:style>
  <w:style w:type="paragraph" w:styleId="4">
    <w:name w:val="index 6"/>
    <w:next w:val="1"/>
    <w:unhideWhenUsed/>
    <w:qFormat/>
    <w:uiPriority w:val="99"/>
    <w:pPr>
      <w:widowControl w:val="0"/>
      <w:ind w:left="1000" w:leftChars="1000"/>
      <w:jc w:val="both"/>
    </w:pPr>
    <w:rPr>
      <w:rFonts w:ascii="Times New Roman" w:hAnsi="Times New Roman" w:eastAsia="仿宋_GB2312" w:cs="Times New Roman"/>
      <w:kern w:val="2"/>
      <w:sz w:val="32"/>
      <w:szCs w:val="24"/>
      <w:lang w:val="en-US" w:eastAsia="zh-CN" w:bidi="ar-SA"/>
    </w:rPr>
  </w:style>
  <w:style w:type="paragraph" w:styleId="5">
    <w:name w:val="Body Text"/>
    <w:next w:val="4"/>
    <w:unhideWhenUsed/>
    <w:qFormat/>
    <w:uiPriority w:val="0"/>
    <w:pPr>
      <w:widowControl w:val="0"/>
      <w:ind w:firstLine="883" w:firstLineChars="200"/>
      <w:jc w:val="both"/>
    </w:pPr>
    <w:rPr>
      <w:rFonts w:ascii="Times New Roman" w:hAnsi="Times New Roman" w:eastAsia="宋体" w:cs="Times New Roman"/>
      <w:kern w:val="2"/>
      <w:sz w:val="21"/>
      <w:szCs w:val="24"/>
      <w:lang w:val="en-US" w:eastAsia="zh-CN" w:bidi="ar-SA"/>
    </w:rPr>
  </w:style>
  <w:style w:type="paragraph" w:styleId="6">
    <w:name w:val="footer"/>
    <w:qFormat/>
    <w:uiPriority w:val="0"/>
    <w:pPr>
      <w:widowControl w:val="0"/>
      <w:tabs>
        <w:tab w:val="center" w:pos="4153"/>
        <w:tab w:val="right" w:pos="8306"/>
      </w:tabs>
      <w:snapToGrid w:val="0"/>
    </w:pPr>
    <w:rPr>
      <w:rFonts w:ascii="Times New Roman" w:hAnsi="Times New Roman" w:eastAsia="仿宋_GB2312" w:cs="Times New Roman"/>
      <w:kern w:val="2"/>
      <w:sz w:val="18"/>
      <w:szCs w:val="18"/>
      <w:lang w:val="en-US" w:eastAsia="zh-CN" w:bidi="ar-SA"/>
    </w:rPr>
  </w:style>
  <w:style w:type="paragraph" w:styleId="7">
    <w:name w:val="header"/>
    <w:qFormat/>
    <w:uiPriority w:val="0"/>
    <w:pPr>
      <w:widowControl w:val="0"/>
      <w:pBdr>
        <w:bottom w:val="single" w:color="auto" w:sz="6" w:space="1"/>
      </w:pBdr>
      <w:tabs>
        <w:tab w:val="center" w:pos="4153"/>
        <w:tab w:val="right" w:pos="8306"/>
      </w:tabs>
      <w:snapToGrid w:val="0"/>
      <w:jc w:val="center"/>
    </w:pPr>
    <w:rPr>
      <w:rFonts w:ascii="Times New Roman" w:hAnsi="Times New Roman" w:eastAsia="仿宋_GB2312" w:cs="Times New Roman"/>
      <w:kern w:val="2"/>
      <w:sz w:val="18"/>
      <w:szCs w:val="18"/>
      <w:lang w:val="en-US" w:eastAsia="zh-CN" w:bidi="ar-SA"/>
    </w:rPr>
  </w:style>
  <w:style w:type="paragraph" w:styleId="8">
    <w:name w:val="Normal (Web)"/>
    <w:unhideWhenUsed/>
    <w:qFormat/>
    <w:uiPriority w:val="0"/>
    <w:rPr>
      <w:rFonts w:ascii="宋体" w:hAnsi="宋体" w:eastAsia="宋体" w:cs="宋体"/>
      <w:sz w:val="24"/>
      <w:szCs w:val="24"/>
      <w:lang w:val="en-US" w:eastAsia="zh-CN" w:bidi="ar-SA"/>
    </w:rPr>
  </w:style>
  <w:style w:type="paragraph" w:styleId="9">
    <w:name w:val="Body Text First Indent"/>
    <w:next w:val="5"/>
    <w:qFormat/>
    <w:uiPriority w:val="0"/>
    <w:pPr>
      <w:widowControl w:val="0"/>
      <w:ind w:firstLine="420" w:firstLineChars="100"/>
      <w:jc w:val="both"/>
    </w:pPr>
    <w:rPr>
      <w:rFonts w:ascii="Times New Roman" w:hAnsi="Times New Roman" w:eastAsia="宋体" w:cs="Times New Roman"/>
      <w:lang w:val="en-US" w:eastAsia="zh-CN" w:bidi="ar-SA"/>
    </w:rPr>
  </w:style>
  <w:style w:type="table" w:styleId="11">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3">
    <w:name w:val="page number"/>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814</Words>
  <Characters>4641</Characters>
  <Lines>38</Lines>
  <Paragraphs>10</Paragraphs>
  <TotalTime>1</TotalTime>
  <ScaleCrop>false</ScaleCrop>
  <LinksUpToDate>false</LinksUpToDate>
  <CharactersWithSpaces>5445</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2026-06-17T10:34:00Z</dcterms:created>
  <dc:creator>HGL</dc:creator>
  <cp:lastModifiedBy>user</cp:lastModifiedBy>
  <cp:lastPrinted>2026-07-09T17:10:00Z</cp:lastPrinted>
  <dcterms:modified xsi:type="dcterms:W3CDTF">2026-07-30T16:31:59Z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6D0798510B634DB2860A527ECA4B2E2C_13</vt:lpwstr>
  </property>
  <property fmtid="{D5CDD505-2E9C-101B-9397-08002B2CF9AE}" pid="4" name="KSOTemplateDocerSaveRecord">
    <vt:lpwstr>eyJoZGlkIjoiYzkyNTVjNzZkY2IxYjYzZTAzNzQ3MzY2MzZhMTJjMmEiLCJ1c2VySWQiOiI2NTAzMjkzNjQifQ==</vt:lpwstr>
  </property>
</Properties>
</file>