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Lines="50" w:line="400" w:lineRule="exact"/>
        <w:jc w:val="left"/>
        <w:rPr>
          <w:rFonts w:ascii="方正小标宋简体" w:hAnsi="方正小标宋简体" w:eastAsia="方正小标宋简体" w:cs="方正小标宋简体"/>
          <w:kern w:val="0"/>
          <w:sz w:val="40"/>
          <w:szCs w:val="40"/>
        </w:rPr>
      </w:pPr>
      <w:r>
        <w:rPr>
          <w:rFonts w:hint="eastAsia" w:ascii="方正小标宋简体" w:hAnsi="方正小标宋简体" w:eastAsia="方正小标宋简体" w:cs="方正小标宋简体"/>
          <w:kern w:val="0"/>
          <w:sz w:val="40"/>
          <w:szCs w:val="40"/>
          <w:lang w:eastAsia="zh-CN"/>
        </w:rPr>
        <w:t>一、</w:t>
      </w:r>
      <w:r>
        <w:rPr>
          <w:rFonts w:hint="eastAsia" w:ascii="方正小标宋简体" w:hAnsi="方正小标宋简体" w:eastAsia="方正小标宋简体" w:cs="方正小标宋简体"/>
          <w:kern w:val="0"/>
          <w:sz w:val="40"/>
          <w:szCs w:val="40"/>
        </w:rPr>
        <w:t>全省人社系统先进</w:t>
      </w:r>
      <w:r>
        <w:rPr>
          <w:rFonts w:hint="eastAsia" w:ascii="方正小标宋简体" w:hAnsi="方正小标宋简体" w:eastAsia="方正小标宋简体" w:cs="方正小标宋简体"/>
          <w:kern w:val="0"/>
          <w:sz w:val="40"/>
          <w:szCs w:val="40"/>
          <w:lang w:eastAsia="zh-CN"/>
        </w:rPr>
        <w:t>集体</w:t>
      </w:r>
      <w:r>
        <w:rPr>
          <w:rFonts w:hint="eastAsia" w:ascii="方正小标宋简体" w:hAnsi="方正小标宋简体" w:eastAsia="方正小标宋简体" w:cs="方正小标宋简体"/>
          <w:kern w:val="0"/>
          <w:sz w:val="40"/>
          <w:szCs w:val="40"/>
        </w:rPr>
        <w:t>推荐对象先进事迹和获奖情况汇总表</w:t>
      </w:r>
    </w:p>
    <w:tbl>
      <w:tblPr>
        <w:tblStyle w:val="11"/>
        <w:tblpPr w:leftFromText="180" w:rightFromText="180" w:vertAnchor="text" w:horzAnchor="page" w:tblpX="1438" w:tblpY="439"/>
        <w:tblOverlap w:val="never"/>
        <w:tblW w:w="1385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79"/>
        <w:gridCol w:w="1001"/>
        <w:gridCol w:w="1020"/>
        <w:gridCol w:w="750"/>
        <w:gridCol w:w="8670"/>
        <w:gridCol w:w="193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79" w:type="dxa"/>
            <w:vAlign w:val="center"/>
          </w:tcPr>
          <w:p>
            <w:pPr>
              <w:tabs>
                <w:tab w:val="left" w:pos="8085"/>
              </w:tabs>
              <w:spacing w:line="300" w:lineRule="exact"/>
              <w:jc w:val="center"/>
              <w:rPr>
                <w:rFonts w:ascii="黑体" w:hAnsi="黑体" w:eastAsia="黑体" w:cs="黑体"/>
                <w:bCs/>
                <w:sz w:val="24"/>
              </w:rPr>
            </w:pPr>
            <w:r>
              <w:rPr>
                <w:rFonts w:hint="eastAsia" w:ascii="黑体" w:hAnsi="黑体" w:eastAsia="黑体" w:cs="黑体"/>
                <w:bCs/>
                <w:sz w:val="24"/>
              </w:rPr>
              <w:t>序号</w:t>
            </w:r>
          </w:p>
        </w:tc>
        <w:tc>
          <w:tcPr>
            <w:tcW w:w="1001" w:type="dxa"/>
            <w:vAlign w:val="center"/>
          </w:tcPr>
          <w:p>
            <w:pPr>
              <w:tabs>
                <w:tab w:val="left" w:pos="8085"/>
              </w:tabs>
              <w:spacing w:line="300" w:lineRule="exact"/>
              <w:jc w:val="center"/>
              <w:rPr>
                <w:rFonts w:hint="eastAsia" w:ascii="黑体" w:hAnsi="黑体" w:eastAsia="黑体" w:cs="黑体"/>
                <w:bCs/>
                <w:sz w:val="24"/>
                <w:lang w:eastAsia="zh-CN"/>
              </w:rPr>
            </w:pPr>
            <w:r>
              <w:rPr>
                <w:rFonts w:hint="eastAsia" w:ascii="黑体" w:hAnsi="黑体" w:eastAsia="黑体" w:cs="黑体"/>
                <w:bCs/>
                <w:sz w:val="24"/>
                <w:lang w:eastAsia="zh-CN"/>
              </w:rPr>
              <w:t>推荐</w:t>
            </w:r>
          </w:p>
          <w:p>
            <w:pPr>
              <w:tabs>
                <w:tab w:val="left" w:pos="8085"/>
              </w:tabs>
              <w:spacing w:line="300" w:lineRule="exact"/>
              <w:jc w:val="center"/>
              <w:rPr>
                <w:rFonts w:hint="eastAsia" w:ascii="黑体" w:hAnsi="黑体" w:eastAsia="黑体" w:cs="黑体"/>
                <w:bCs/>
                <w:sz w:val="24"/>
                <w:lang w:eastAsia="zh-CN"/>
              </w:rPr>
            </w:pPr>
            <w:r>
              <w:rPr>
                <w:rFonts w:hint="eastAsia" w:ascii="黑体" w:hAnsi="黑体" w:eastAsia="黑体" w:cs="黑体"/>
                <w:bCs/>
                <w:sz w:val="24"/>
                <w:lang w:eastAsia="zh-CN"/>
              </w:rPr>
              <w:t>单位</w:t>
            </w:r>
          </w:p>
        </w:tc>
        <w:tc>
          <w:tcPr>
            <w:tcW w:w="1020" w:type="dxa"/>
            <w:vAlign w:val="center"/>
          </w:tcPr>
          <w:p>
            <w:pPr>
              <w:tabs>
                <w:tab w:val="left" w:pos="8085"/>
              </w:tabs>
              <w:spacing w:line="300" w:lineRule="exact"/>
              <w:jc w:val="center"/>
              <w:rPr>
                <w:rFonts w:hint="eastAsia" w:ascii="黑体" w:hAnsi="黑体" w:eastAsia="黑体" w:cs="黑体"/>
                <w:bCs/>
                <w:sz w:val="24"/>
              </w:rPr>
            </w:pPr>
            <w:r>
              <w:rPr>
                <w:rFonts w:hint="eastAsia" w:ascii="黑体" w:hAnsi="黑体" w:eastAsia="黑体" w:cs="黑体"/>
                <w:bCs/>
                <w:sz w:val="24"/>
              </w:rPr>
              <w:t>集体</w:t>
            </w:r>
          </w:p>
          <w:p>
            <w:pPr>
              <w:tabs>
                <w:tab w:val="left" w:pos="8085"/>
              </w:tabs>
              <w:spacing w:line="300" w:lineRule="exact"/>
              <w:jc w:val="center"/>
              <w:rPr>
                <w:rFonts w:ascii="黑体" w:hAnsi="黑体" w:eastAsia="黑体" w:cs="黑体"/>
                <w:bCs/>
                <w:sz w:val="24"/>
              </w:rPr>
            </w:pPr>
            <w:r>
              <w:rPr>
                <w:rFonts w:hint="eastAsia" w:ascii="黑体" w:hAnsi="黑体" w:eastAsia="黑体" w:cs="黑体"/>
                <w:bCs/>
                <w:sz w:val="24"/>
              </w:rPr>
              <w:t>名称</w:t>
            </w:r>
          </w:p>
        </w:tc>
        <w:tc>
          <w:tcPr>
            <w:tcW w:w="750" w:type="dxa"/>
            <w:vAlign w:val="center"/>
          </w:tcPr>
          <w:p>
            <w:pPr>
              <w:tabs>
                <w:tab w:val="left" w:pos="8085"/>
              </w:tabs>
              <w:spacing w:line="300" w:lineRule="exact"/>
              <w:jc w:val="center"/>
              <w:rPr>
                <w:rFonts w:hint="eastAsia" w:ascii="黑体" w:hAnsi="黑体" w:eastAsia="黑体" w:cs="黑体"/>
                <w:bCs/>
                <w:sz w:val="24"/>
                <w:lang w:eastAsia="zh-CN"/>
              </w:rPr>
            </w:pPr>
            <w:r>
              <w:rPr>
                <w:rFonts w:hint="eastAsia" w:ascii="黑体" w:hAnsi="黑体" w:eastAsia="黑体" w:cs="黑体"/>
                <w:bCs/>
                <w:sz w:val="24"/>
                <w:lang w:eastAsia="zh-CN"/>
              </w:rPr>
              <w:t>单位类型</w:t>
            </w:r>
          </w:p>
        </w:tc>
        <w:tc>
          <w:tcPr>
            <w:tcW w:w="8670" w:type="dxa"/>
            <w:vAlign w:val="center"/>
          </w:tcPr>
          <w:p>
            <w:pPr>
              <w:tabs>
                <w:tab w:val="left" w:pos="8085"/>
              </w:tabs>
              <w:spacing w:line="300" w:lineRule="exact"/>
              <w:jc w:val="center"/>
              <w:rPr>
                <w:rFonts w:ascii="黑体" w:hAnsi="黑体" w:eastAsia="黑体" w:cs="黑体"/>
                <w:bCs/>
                <w:sz w:val="24"/>
              </w:rPr>
            </w:pPr>
            <w:r>
              <w:rPr>
                <w:rFonts w:hint="eastAsia" w:ascii="黑体" w:hAnsi="黑体" w:eastAsia="黑体" w:cs="黑体"/>
                <w:bCs/>
                <w:sz w:val="24"/>
                <w:lang w:eastAsia="zh-CN"/>
              </w:rPr>
              <w:t>主要工作业绩</w:t>
            </w:r>
          </w:p>
        </w:tc>
        <w:tc>
          <w:tcPr>
            <w:tcW w:w="1935" w:type="dxa"/>
            <w:vAlign w:val="center"/>
          </w:tcPr>
          <w:p>
            <w:pPr>
              <w:tabs>
                <w:tab w:val="left" w:pos="8085"/>
              </w:tabs>
              <w:spacing w:line="300" w:lineRule="exact"/>
              <w:jc w:val="center"/>
              <w:rPr>
                <w:rFonts w:hint="eastAsia" w:ascii="黑体" w:hAnsi="黑体" w:eastAsia="黑体" w:cs="黑体"/>
                <w:bCs/>
                <w:sz w:val="24"/>
                <w:lang w:eastAsia="zh-CN"/>
              </w:rPr>
            </w:pPr>
            <w:r>
              <w:rPr>
                <w:rFonts w:hint="eastAsia" w:ascii="黑体" w:hAnsi="黑体" w:eastAsia="黑体" w:cs="黑体"/>
                <w:bCs/>
                <w:sz w:val="24"/>
                <w:lang w:eastAsia="zh-CN"/>
              </w:rPr>
              <w:t>获得荣</w:t>
            </w:r>
            <w:r>
              <w:rPr>
                <w:rFonts w:hint="eastAsia" w:ascii="黑体" w:hAnsi="黑体" w:eastAsia="黑体" w:cs="黑体"/>
                <w:bCs/>
                <w:sz w:val="24"/>
              </w:rPr>
              <w:t>誉和奖</w:t>
            </w:r>
            <w:r>
              <w:rPr>
                <w:rFonts w:hint="eastAsia" w:ascii="黑体" w:hAnsi="黑体" w:eastAsia="黑体" w:cs="黑体"/>
                <w:bCs/>
                <w:sz w:val="24"/>
                <w:lang w:eastAsia="zh-CN"/>
              </w:rPr>
              <w:t>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58" w:hRule="atLeast"/>
        </w:trPr>
        <w:tc>
          <w:tcPr>
            <w:tcW w:w="479" w:type="dxa"/>
            <w:vAlign w:val="center"/>
          </w:tcPr>
          <w:p>
            <w:pPr>
              <w:tabs>
                <w:tab w:val="left" w:pos="8085"/>
              </w:tabs>
              <w:spacing w:line="300" w:lineRule="exact"/>
              <w:jc w:val="center"/>
              <w:rPr>
                <w:rFonts w:ascii="仿宋_GB2312" w:hAnsi="仿宋_GB2312" w:cs="仿宋_GB2312"/>
                <w:sz w:val="24"/>
              </w:rPr>
            </w:pPr>
            <w:r>
              <w:rPr>
                <w:rFonts w:hint="eastAsia" w:ascii="仿宋_GB2312" w:hAnsi="仿宋_GB2312" w:cs="仿宋_GB2312"/>
                <w:sz w:val="24"/>
              </w:rPr>
              <w:t>1</w:t>
            </w:r>
          </w:p>
        </w:tc>
        <w:tc>
          <w:tcPr>
            <w:tcW w:w="1001" w:type="dxa"/>
            <w:vAlign w:val="center"/>
          </w:tcPr>
          <w:p>
            <w:pPr>
              <w:tabs>
                <w:tab w:val="left" w:pos="8085"/>
              </w:tabs>
              <w:spacing w:line="300" w:lineRule="exact"/>
              <w:rPr>
                <w:rFonts w:hint="eastAsia" w:ascii="仿宋_GB2312" w:hAnsi="仿宋_GB2312" w:eastAsia="仿宋_GB2312" w:cs="仿宋_GB2312"/>
                <w:bCs/>
                <w:sz w:val="24"/>
                <w:lang w:eastAsia="zh-CN"/>
              </w:rPr>
            </w:pPr>
            <w:r>
              <w:rPr>
                <w:rFonts w:hint="eastAsia" w:ascii="仿宋_GB2312" w:hAnsi="仿宋_GB2312" w:cs="仿宋_GB2312"/>
                <w:bCs/>
                <w:sz w:val="24"/>
                <w:lang w:eastAsia="zh-CN"/>
              </w:rPr>
              <w:t>泉州市人民政府</w:t>
            </w:r>
          </w:p>
        </w:tc>
        <w:tc>
          <w:tcPr>
            <w:tcW w:w="1020" w:type="dxa"/>
            <w:vAlign w:val="center"/>
          </w:tcPr>
          <w:p>
            <w:pPr>
              <w:tabs>
                <w:tab w:val="left" w:pos="8085"/>
              </w:tabs>
              <w:spacing w:line="300" w:lineRule="exact"/>
              <w:jc w:val="center"/>
              <w:rPr>
                <w:rFonts w:ascii="仿宋_GB2312" w:hAnsi="仿宋_GB2312" w:cs="仿宋_GB2312"/>
                <w:bCs/>
                <w:sz w:val="24"/>
              </w:rPr>
            </w:pPr>
            <w:r>
              <w:rPr>
                <w:rFonts w:hint="eastAsia" w:ascii="仿宋_GB2312" w:hAnsi="仿宋_GB2312" w:cs="仿宋_GB2312"/>
                <w:bCs/>
                <w:sz w:val="24"/>
              </w:rPr>
              <w:t>泉州市人力资源和社会保障局</w:t>
            </w:r>
          </w:p>
        </w:tc>
        <w:tc>
          <w:tcPr>
            <w:tcW w:w="750" w:type="dxa"/>
            <w:vAlign w:val="center"/>
          </w:tcPr>
          <w:p>
            <w:pPr>
              <w:tabs>
                <w:tab w:val="left" w:pos="8085"/>
              </w:tabs>
              <w:spacing w:line="300" w:lineRule="exact"/>
              <w:jc w:val="center"/>
              <w:rPr>
                <w:rFonts w:ascii="仿宋_GB2312" w:hAnsi="仿宋_GB2312" w:cs="仿宋_GB2312"/>
                <w:bCs/>
                <w:sz w:val="24"/>
              </w:rPr>
            </w:pPr>
            <w:r>
              <w:rPr>
                <w:rFonts w:hint="eastAsia" w:ascii="仿宋_GB2312" w:hAnsi="仿宋_GB2312" w:cs="仿宋_GB2312"/>
                <w:bCs/>
                <w:sz w:val="24"/>
              </w:rPr>
              <w:t>行政机关</w:t>
            </w:r>
          </w:p>
        </w:tc>
        <w:tc>
          <w:tcPr>
            <w:tcW w:w="8670" w:type="dxa"/>
            <w:vAlign w:val="center"/>
          </w:tcPr>
          <w:p>
            <w:pPr>
              <w:pStyle w:val="2"/>
              <w:ind w:firstLine="480"/>
            </w:pPr>
            <w:r>
              <w:rPr>
                <w:rFonts w:hint="eastAsia" w:ascii="仿宋_GB2312" w:hAnsi="仿宋_GB2312" w:eastAsia="仿宋_GB2312" w:cs="仿宋_GB2312"/>
                <w:bCs/>
                <w:sz w:val="24"/>
              </w:rPr>
              <w:t>2021年以来，泉州市人社局深入贯彻落实党中央、国务院决策部署，以及省委省政府、省人社厅的工作要求，扎实推进人社事业发展，人社事业取得系统性进步。荣获两个国家级荣誉（“全国根治拖欠农民工工资工作先进集体”“全国人力资源社会保障系统先进集体”），两个国家级项目（全国公共就业服务能力提升示范项目、第三届全国博士后创新创业大赛），两次标杆（营商环境“劳动力市场监管”“人才与用工”指标进入全省标杆），两次被市委市政府记集体三等功。稳岗就业成效显著。出台30多份稳就业、促就业政策，建成并推广使用“泉就业”公共服务平台，构建“大数据赋能+铁脚板扎根+智慧化服务”的就业服务体系。城镇新增就业47.95万人，排名全省第三。社保体系日益完善。在全国率先启动外卖骑手养老保险试点，推出“社银合作”服务，新增养老保险、工伤保险、失业保险参保人数132万人次，保持全省前列。人才队伍持续壮大。建成泉州技师学院，结束了泉州作为制造业大市、工业大市、用工大市没有技师学院的历史。实施职业技能提升工程，成功承办第一届全省职业技能大赛，举办技工教育、技能人才活动周。在全省率先授权企业自主认定高层次人才、直接认定高技能人才，持续推进职称评审权下放，在全省率先建成全市事业单位公开招聘考官库。人才总量突破255万人，排名全省第一。劳动关系保持稳定。构建“两有两发”（有平台、有钱发、发到人、发到位）工资支付闭环机制，省对市保障农民工工资支付工作考核连续5年获评A级。构建“泉调解”劳动人事争议五级联调工作机制，连续4年均有基层调解组织被人社部办公厅等部门通报表扬。</w:t>
            </w:r>
          </w:p>
        </w:tc>
        <w:tc>
          <w:tcPr>
            <w:tcW w:w="1935" w:type="dxa"/>
            <w:vAlign w:val="center"/>
          </w:tcPr>
          <w:p>
            <w:pPr>
              <w:tabs>
                <w:tab w:val="left" w:pos="8085"/>
              </w:tabs>
              <w:spacing w:line="300" w:lineRule="exact"/>
              <w:jc w:val="both"/>
              <w:rPr>
                <w:rFonts w:hint="eastAsia" w:ascii="仿宋_GB2312" w:hAnsi="仿宋_GB2312" w:cs="仿宋_GB2312"/>
                <w:bCs/>
                <w:sz w:val="24"/>
              </w:rPr>
            </w:pPr>
            <w:r>
              <w:rPr>
                <w:rFonts w:hint="eastAsia" w:ascii="仿宋_GB2312"/>
                <w:sz w:val="24"/>
                <w:lang w:val="en-US" w:eastAsia="zh-CN"/>
              </w:rPr>
              <w:t>2021</w:t>
            </w:r>
            <w:r>
              <w:rPr>
                <w:rFonts w:hint="eastAsia" w:ascii="仿宋_GB2312"/>
                <w:sz w:val="24"/>
              </w:rPr>
              <w:t>年</w:t>
            </w:r>
            <w:r>
              <w:rPr>
                <w:rFonts w:hint="eastAsia" w:ascii="仿宋_GB2312"/>
                <w:sz w:val="24"/>
                <w:lang w:val="en-US" w:eastAsia="zh-CN"/>
              </w:rPr>
              <w:t>11</w:t>
            </w:r>
            <w:r>
              <w:rPr>
                <w:rFonts w:hint="eastAsia" w:ascii="仿宋_GB2312"/>
                <w:sz w:val="24"/>
              </w:rPr>
              <w:t>月被</w:t>
            </w:r>
            <w:r>
              <w:rPr>
                <w:rFonts w:hint="eastAsia" w:ascii="仿宋_GB2312"/>
                <w:sz w:val="24"/>
                <w:lang w:eastAsia="zh-CN"/>
              </w:rPr>
              <w:t>评为</w:t>
            </w:r>
            <w:r>
              <w:rPr>
                <w:rFonts w:hint="eastAsia" w:ascii="仿宋_GB2312" w:hAnsi="仿宋_GB2312" w:cs="仿宋_GB2312"/>
                <w:bCs/>
                <w:sz w:val="24"/>
              </w:rPr>
              <w:t>全国根治拖欠农民工工资工作先进集体；</w:t>
            </w:r>
          </w:p>
          <w:p>
            <w:pPr>
              <w:tabs>
                <w:tab w:val="left" w:pos="8085"/>
              </w:tabs>
              <w:spacing w:line="300" w:lineRule="exact"/>
              <w:jc w:val="both"/>
              <w:rPr>
                <w:rFonts w:hint="eastAsia" w:ascii="仿宋_GB2312" w:hAnsi="仿宋_GB2312" w:cs="仿宋_GB2312"/>
                <w:bCs/>
                <w:sz w:val="24"/>
              </w:rPr>
            </w:pPr>
            <w:r>
              <w:rPr>
                <w:rFonts w:hint="eastAsia" w:ascii="仿宋_GB2312"/>
                <w:sz w:val="24"/>
                <w:lang w:val="en-US" w:eastAsia="zh-CN"/>
              </w:rPr>
              <w:t>2022</w:t>
            </w:r>
            <w:r>
              <w:rPr>
                <w:rFonts w:hint="eastAsia" w:ascii="仿宋_GB2312"/>
                <w:sz w:val="24"/>
              </w:rPr>
              <w:t>年</w:t>
            </w:r>
            <w:r>
              <w:rPr>
                <w:rFonts w:hint="eastAsia" w:ascii="仿宋_GB2312"/>
                <w:sz w:val="24"/>
                <w:lang w:val="en-US" w:eastAsia="zh-CN"/>
              </w:rPr>
              <w:t>12月</w:t>
            </w:r>
            <w:r>
              <w:rPr>
                <w:rFonts w:hint="eastAsia" w:ascii="仿宋_GB2312"/>
                <w:sz w:val="24"/>
              </w:rPr>
              <w:t>被</w:t>
            </w:r>
            <w:r>
              <w:rPr>
                <w:rFonts w:hint="eastAsia" w:ascii="仿宋_GB2312" w:hAnsi="仿宋_GB2312" w:cs="仿宋_GB2312"/>
                <w:bCs/>
                <w:sz w:val="24"/>
              </w:rPr>
              <w:t>全国人力资源社会保障系统先进集体”；</w:t>
            </w:r>
          </w:p>
          <w:p>
            <w:pPr>
              <w:tabs>
                <w:tab w:val="left" w:pos="8085"/>
              </w:tabs>
              <w:spacing w:line="300" w:lineRule="exact"/>
              <w:jc w:val="both"/>
              <w:rPr>
                <w:rFonts w:hint="eastAsia" w:ascii="仿宋_GB2312" w:hAnsi="仿宋_GB2312" w:eastAsia="仿宋_GB2312" w:cs="仿宋_GB2312"/>
                <w:bCs/>
                <w:sz w:val="24"/>
                <w:lang w:eastAsia="zh-CN"/>
              </w:rPr>
            </w:pPr>
            <w:r>
              <w:rPr>
                <w:rFonts w:hint="eastAsia" w:ascii="仿宋_GB2312"/>
                <w:sz w:val="24"/>
                <w:lang w:val="en-US" w:eastAsia="zh-CN"/>
              </w:rPr>
              <w:t>2023</w:t>
            </w:r>
            <w:r>
              <w:rPr>
                <w:rFonts w:hint="eastAsia" w:ascii="仿宋_GB2312"/>
                <w:sz w:val="24"/>
              </w:rPr>
              <w:t>年</w:t>
            </w:r>
            <w:r>
              <w:rPr>
                <w:rFonts w:hint="eastAsia" w:ascii="仿宋_GB2312"/>
                <w:sz w:val="24"/>
                <w:lang w:val="en-US" w:eastAsia="zh-CN"/>
              </w:rPr>
              <w:t>11</w:t>
            </w:r>
            <w:r>
              <w:rPr>
                <w:rFonts w:hint="eastAsia" w:ascii="仿宋_GB2312"/>
                <w:sz w:val="24"/>
              </w:rPr>
              <w:t>月被</w:t>
            </w:r>
            <w:r>
              <w:rPr>
                <w:rFonts w:hint="eastAsia" w:ascii="仿宋_GB2312" w:hAnsi="仿宋_GB2312" w:cs="仿宋_GB2312"/>
                <w:bCs/>
                <w:sz w:val="24"/>
              </w:rPr>
              <w:t>市委市政府记集体三等功</w:t>
            </w:r>
            <w:r>
              <w:rPr>
                <w:rFonts w:hint="eastAsia" w:ascii="仿宋_GB2312" w:hAnsi="仿宋_GB2312" w:cs="仿宋_GB2312"/>
                <w:bCs/>
                <w:sz w:val="24"/>
                <w:lang w:eastAsia="zh-CN"/>
              </w:rPr>
              <w:t>；</w:t>
            </w:r>
          </w:p>
          <w:p>
            <w:pPr>
              <w:tabs>
                <w:tab w:val="left" w:pos="8085"/>
              </w:tabs>
              <w:spacing w:line="300" w:lineRule="exact"/>
              <w:jc w:val="both"/>
              <w:rPr>
                <w:rFonts w:hint="eastAsia" w:ascii="仿宋_GB2312" w:hAnsi="仿宋_GB2312" w:eastAsia="仿宋_GB2312" w:cs="仿宋_GB2312"/>
                <w:bCs/>
                <w:sz w:val="24"/>
                <w:lang w:eastAsia="zh-CN"/>
              </w:rPr>
            </w:pPr>
            <w:r>
              <w:rPr>
                <w:rFonts w:hint="eastAsia" w:ascii="仿宋_GB2312"/>
                <w:sz w:val="24"/>
              </w:rPr>
              <w:t>2026年2月</w:t>
            </w:r>
            <w:r>
              <w:rPr>
                <w:rFonts w:hint="eastAsia" w:ascii="仿宋_GB2312" w:hAnsi="仿宋_GB2312" w:cs="仿宋_GB2312"/>
                <w:bCs/>
                <w:sz w:val="24"/>
              </w:rPr>
              <w:t>被市委市政府记集体三等功</w:t>
            </w:r>
            <w:r>
              <w:rPr>
                <w:rFonts w:hint="eastAsia" w:ascii="仿宋_GB2312" w:hAnsi="仿宋_GB2312" w:cs="仿宋_GB2312"/>
                <w:bCs/>
                <w:sz w:val="24"/>
                <w:lang w:eastAsia="zh-CN"/>
              </w:rPr>
              <w:t>。</w:t>
            </w:r>
            <w:bookmarkStart w:id="0" w:name="_GoBack"/>
            <w:bookmarkEnd w:id="0"/>
          </w:p>
          <w:p>
            <w:pPr>
              <w:pStyle w:val="2"/>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0" w:hRule="atLeast"/>
        </w:trPr>
        <w:tc>
          <w:tcPr>
            <w:tcW w:w="479" w:type="dxa"/>
            <w:vAlign w:val="center"/>
          </w:tcPr>
          <w:p>
            <w:pPr>
              <w:tabs>
                <w:tab w:val="left" w:pos="8085"/>
              </w:tabs>
              <w:spacing w:line="300" w:lineRule="exact"/>
              <w:jc w:val="center"/>
              <w:rPr>
                <w:rFonts w:ascii="仿宋_GB2312" w:hAnsi="仿宋_GB2312" w:cs="仿宋_GB2312"/>
                <w:sz w:val="24"/>
              </w:rPr>
            </w:pPr>
            <w:r>
              <w:rPr>
                <w:rFonts w:hint="eastAsia" w:ascii="仿宋_GB2312" w:hAnsi="仿宋_GB2312" w:cs="仿宋_GB2312"/>
                <w:sz w:val="24"/>
              </w:rPr>
              <w:t>2</w:t>
            </w:r>
          </w:p>
        </w:tc>
        <w:tc>
          <w:tcPr>
            <w:tcW w:w="1001" w:type="dxa"/>
            <w:vAlign w:val="center"/>
          </w:tcPr>
          <w:p>
            <w:pPr>
              <w:tabs>
                <w:tab w:val="left" w:pos="8085"/>
              </w:tabs>
              <w:spacing w:line="300" w:lineRule="exact"/>
              <w:jc w:val="center"/>
              <w:rPr>
                <w:rFonts w:hint="eastAsia" w:ascii="仿宋_GB2312" w:hAnsi="仿宋_GB2312" w:eastAsia="仿宋_GB2312" w:cs="仿宋_GB2312"/>
                <w:bCs/>
                <w:sz w:val="24"/>
                <w:lang w:eastAsia="zh-CN"/>
              </w:rPr>
            </w:pPr>
            <w:r>
              <w:rPr>
                <w:rFonts w:hint="eastAsia" w:ascii="仿宋_GB2312" w:hAnsi="仿宋_GB2312" w:cs="仿宋_GB2312"/>
                <w:bCs/>
                <w:sz w:val="24"/>
              </w:rPr>
              <w:t>鲤城区</w:t>
            </w:r>
            <w:r>
              <w:rPr>
                <w:rFonts w:hint="eastAsia" w:ascii="仿宋_GB2312" w:hAnsi="仿宋_GB2312" w:cs="仿宋_GB2312"/>
                <w:bCs/>
                <w:sz w:val="24"/>
                <w:lang w:eastAsia="zh-CN"/>
              </w:rPr>
              <w:t>人民政府</w:t>
            </w:r>
          </w:p>
        </w:tc>
        <w:tc>
          <w:tcPr>
            <w:tcW w:w="1020" w:type="dxa"/>
            <w:vAlign w:val="center"/>
          </w:tcPr>
          <w:p>
            <w:pPr>
              <w:tabs>
                <w:tab w:val="left" w:pos="8085"/>
              </w:tabs>
              <w:spacing w:line="300" w:lineRule="exact"/>
              <w:jc w:val="center"/>
              <w:rPr>
                <w:rFonts w:ascii="仿宋_GB2312" w:hAnsi="仿宋_GB2312" w:cs="仿宋_GB2312"/>
                <w:bCs/>
                <w:sz w:val="24"/>
              </w:rPr>
            </w:pPr>
            <w:r>
              <w:rPr>
                <w:rFonts w:hint="eastAsia" w:ascii="仿宋_GB2312" w:hAnsi="仿宋_GB2312" w:cs="仿宋_GB2312"/>
                <w:bCs/>
                <w:sz w:val="24"/>
              </w:rPr>
              <w:t>泉州市鲤城区人力资源和社会保障局</w:t>
            </w:r>
          </w:p>
        </w:tc>
        <w:tc>
          <w:tcPr>
            <w:tcW w:w="750" w:type="dxa"/>
            <w:vAlign w:val="center"/>
          </w:tcPr>
          <w:p>
            <w:pPr>
              <w:tabs>
                <w:tab w:val="left" w:pos="8085"/>
              </w:tabs>
              <w:spacing w:line="300" w:lineRule="exact"/>
              <w:jc w:val="center"/>
              <w:rPr>
                <w:rFonts w:ascii="仿宋_GB2312" w:hAnsi="仿宋_GB2312" w:cs="仿宋_GB2312"/>
                <w:bCs/>
                <w:sz w:val="24"/>
              </w:rPr>
            </w:pPr>
            <w:r>
              <w:rPr>
                <w:rFonts w:hint="eastAsia" w:ascii="仿宋_GB2312" w:hAnsi="仿宋_GB2312" w:cs="仿宋_GB2312"/>
                <w:bCs/>
                <w:sz w:val="24"/>
              </w:rPr>
              <w:t>行政机关</w:t>
            </w:r>
          </w:p>
        </w:tc>
        <w:tc>
          <w:tcPr>
            <w:tcW w:w="8670" w:type="dxa"/>
            <w:vAlign w:val="center"/>
          </w:tcPr>
          <w:p>
            <w:pPr>
              <w:spacing w:line="300" w:lineRule="exact"/>
              <w:jc w:val="center"/>
              <w:rPr>
                <w:rFonts w:ascii="仿宋_GB2312" w:hAnsi="仿宋_GB2312" w:cs="仿宋_GB2312"/>
                <w:bCs/>
                <w:sz w:val="24"/>
              </w:rPr>
            </w:pPr>
            <w:r>
              <w:rPr>
                <w:rFonts w:hint="eastAsia" w:ascii="仿宋_GB2312" w:hAnsi="仿宋_GB2312" w:cs="仿宋_GB2312"/>
                <w:bCs/>
                <w:sz w:val="24"/>
              </w:rPr>
              <w:t>坚持以习近平新时代中国特色社会主义思想为指导，聚焦“民生为本、人才优先”主线，打造“暖心有鲤”等三大服务品牌，建成2个零工市场、4个零工驿站（新门零工市场获评市级示范）。就业创业工作获央视、《人民日报》等报道，就业指标连续三年市对区绩效考评位居前列。创新设立“社保规划专窗”和“社保规划师”团队，被《中国社会保障》杂志报道；设立全市首个“美团骑手服务专窗”，试点外卖骑手养老保险，覆盖万余人次。设立社保大综窗，推行“一窗通办”“就近办”，群众满意度持续提升。拥有市级自主评价资质企业11家、博士后平台7家，引进博士9名，评聘中高级职称974人、新增高级工以上2432人。针对鲤城区劳动关系实际情况，推广建立25个安“薪”驿站工作载体，将矛盾化解在基层、化解在萌芽状态。建立涉台劳动争议一站式服务机制，治理能力不断提升。</w:t>
            </w:r>
          </w:p>
        </w:tc>
        <w:tc>
          <w:tcPr>
            <w:tcW w:w="1935" w:type="dxa"/>
            <w:vAlign w:val="center"/>
          </w:tcPr>
          <w:p>
            <w:pPr>
              <w:tabs>
                <w:tab w:val="left" w:pos="8085"/>
              </w:tabs>
              <w:spacing w:line="300" w:lineRule="exact"/>
              <w:jc w:val="center"/>
              <w:rPr>
                <w:rFonts w:ascii="仿宋_GB2312" w:hAnsi="黑体" w:cs="黑体"/>
                <w:bCs/>
                <w:sz w:val="24"/>
              </w:rPr>
            </w:pPr>
            <w:r>
              <w:rPr>
                <w:rFonts w:hint="eastAsia" w:ascii="仿宋_GB2312" w:hAnsi="黑体" w:cs="黑体"/>
                <w:bCs/>
                <w:sz w:val="24"/>
              </w:rPr>
              <w:t>新增城镇就业指标连续三年位居市对区绩效考评前列。先后荣获泉州2020-2022年度文明单位、2025年海峡两岸女大学生创新创业大赛特别贡献奖等多项荣誉。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70" w:hRule="atLeast"/>
        </w:trPr>
        <w:tc>
          <w:tcPr>
            <w:tcW w:w="479" w:type="dxa"/>
            <w:vAlign w:val="center"/>
          </w:tcPr>
          <w:p>
            <w:pPr>
              <w:tabs>
                <w:tab w:val="left" w:pos="8085"/>
              </w:tabs>
              <w:spacing w:line="300" w:lineRule="exact"/>
              <w:jc w:val="center"/>
              <w:rPr>
                <w:rFonts w:ascii="仿宋_GB2312" w:hAnsi="仿宋_GB2312" w:cs="仿宋_GB2312"/>
                <w:sz w:val="24"/>
              </w:rPr>
            </w:pPr>
            <w:r>
              <w:rPr>
                <w:rFonts w:hint="eastAsia" w:ascii="仿宋_GB2312" w:hAnsi="仿宋_GB2312" w:cs="仿宋_GB2312"/>
                <w:sz w:val="24"/>
              </w:rPr>
              <w:t>3</w:t>
            </w:r>
          </w:p>
        </w:tc>
        <w:tc>
          <w:tcPr>
            <w:tcW w:w="1001" w:type="dxa"/>
            <w:vAlign w:val="center"/>
          </w:tcPr>
          <w:p>
            <w:pPr>
              <w:tabs>
                <w:tab w:val="left" w:pos="8085"/>
              </w:tabs>
              <w:spacing w:line="300" w:lineRule="exact"/>
              <w:jc w:val="center"/>
              <w:rPr>
                <w:rFonts w:hint="eastAsia" w:ascii="仿宋_GB2312" w:hAnsi="仿宋_GB2312" w:eastAsia="仿宋_GB2312" w:cs="仿宋_GB2312"/>
                <w:sz w:val="24"/>
                <w:lang w:eastAsia="zh-CN"/>
              </w:rPr>
            </w:pPr>
            <w:r>
              <w:rPr>
                <w:rFonts w:hint="eastAsia" w:ascii="仿宋_GB2312" w:hAnsi="仿宋_GB2312" w:cs="仿宋_GB2312"/>
                <w:sz w:val="24"/>
              </w:rPr>
              <w:t>晋江市</w:t>
            </w:r>
            <w:r>
              <w:rPr>
                <w:rFonts w:hint="eastAsia" w:ascii="仿宋_GB2312" w:hAnsi="仿宋_GB2312" w:cs="仿宋_GB2312"/>
                <w:sz w:val="24"/>
                <w:lang w:eastAsia="zh-CN"/>
              </w:rPr>
              <w:t>人民政府</w:t>
            </w:r>
          </w:p>
        </w:tc>
        <w:tc>
          <w:tcPr>
            <w:tcW w:w="1020" w:type="dxa"/>
            <w:vAlign w:val="center"/>
          </w:tcPr>
          <w:p>
            <w:pPr>
              <w:tabs>
                <w:tab w:val="left" w:pos="8085"/>
              </w:tabs>
              <w:spacing w:line="300" w:lineRule="exact"/>
              <w:jc w:val="center"/>
              <w:rPr>
                <w:rFonts w:ascii="仿宋_GB2312" w:hAnsi="仿宋_GB2312" w:cs="仿宋_GB2312"/>
                <w:bCs/>
                <w:sz w:val="24"/>
              </w:rPr>
            </w:pPr>
            <w:r>
              <w:rPr>
                <w:rFonts w:hint="eastAsia" w:ascii="仿宋_GB2312" w:hAnsi="仿宋_GB2312" w:cs="仿宋_GB2312"/>
                <w:sz w:val="24"/>
              </w:rPr>
              <w:t>晋江市人力资源和社会保障局</w:t>
            </w:r>
          </w:p>
        </w:tc>
        <w:tc>
          <w:tcPr>
            <w:tcW w:w="750" w:type="dxa"/>
            <w:vAlign w:val="center"/>
          </w:tcPr>
          <w:p>
            <w:pPr>
              <w:tabs>
                <w:tab w:val="left" w:pos="8085"/>
              </w:tabs>
              <w:spacing w:line="300" w:lineRule="exact"/>
              <w:jc w:val="center"/>
              <w:rPr>
                <w:rFonts w:ascii="仿宋_GB2312" w:hAnsi="仿宋_GB2312" w:cs="仿宋_GB2312"/>
                <w:bCs/>
                <w:sz w:val="24"/>
              </w:rPr>
            </w:pPr>
            <w:r>
              <w:rPr>
                <w:rFonts w:hint="eastAsia" w:ascii="仿宋_GB2312" w:hAnsi="仿宋_GB2312" w:cs="仿宋_GB2312"/>
                <w:bCs/>
                <w:sz w:val="24"/>
              </w:rPr>
              <w:t>行政</w:t>
            </w:r>
            <w:r>
              <w:rPr>
                <w:rFonts w:hint="eastAsia" w:ascii="仿宋_GB2312" w:hAnsi="仿宋_GB2312" w:cs="仿宋_GB2312"/>
                <w:sz w:val="24"/>
              </w:rPr>
              <w:t>机关</w:t>
            </w:r>
          </w:p>
        </w:tc>
        <w:tc>
          <w:tcPr>
            <w:tcW w:w="8670" w:type="dxa"/>
            <w:vAlign w:val="center"/>
          </w:tcPr>
          <w:p>
            <w:pPr>
              <w:spacing w:line="300" w:lineRule="exact"/>
              <w:jc w:val="center"/>
              <w:rPr>
                <w:rFonts w:ascii="仿宋_GB2312" w:hAnsi="仿宋_GB2312" w:cs="仿宋_GB2312"/>
                <w:bCs/>
                <w:sz w:val="24"/>
              </w:rPr>
            </w:pPr>
            <w:r>
              <w:rPr>
                <w:rFonts w:hint="eastAsia" w:ascii="仿宋_GB2312" w:hAnsi="仿宋_GB2312" w:cs="仿宋_GB2312"/>
                <w:bCs/>
                <w:sz w:val="24"/>
              </w:rPr>
              <w:t>近年来，晋江人社传承弘扬“晋江经验”，获评全国法治人社示范单位等荣誉。就业方面，创新“政策稳工、内外招工”组合拳，推出短视频招工品牌，重点企业返岗率超90%，新增城镇就业13.8万人，居泉州第一。人才引育上，高水平承办全国博士后大赛、全省第一届职业技大赛、连续5年成功举办全省规模最大的校企人才合作对接会，累计认定高层次人才超1.5万名，发放补贴超1.8亿元。社会保障领域，建成全省县域首个“智慧人社”系统，基础养老金水平领跑泉州各县市，“社银合作”入选人社部优秀案例。劳动关系方面，首创劳动保障救急慈善基金和工伤认定事务中心，调解率达80%以上，获评全国工作突出调解组织。同时，坚持党建引领，全员练兵比武，队伍作风过硬。</w:t>
            </w:r>
          </w:p>
        </w:tc>
        <w:tc>
          <w:tcPr>
            <w:tcW w:w="1935" w:type="dxa"/>
            <w:vAlign w:val="center"/>
          </w:tcPr>
          <w:p>
            <w:pPr>
              <w:tabs>
                <w:tab w:val="left" w:pos="8085"/>
              </w:tabs>
              <w:spacing w:line="300" w:lineRule="exact"/>
              <w:jc w:val="center"/>
              <w:rPr>
                <w:rFonts w:ascii="仿宋_GB2312" w:hAnsi="黑体" w:cs="黑体"/>
                <w:bCs/>
                <w:sz w:val="24"/>
              </w:rPr>
            </w:pPr>
          </w:p>
          <w:p>
            <w:pPr>
              <w:tabs>
                <w:tab w:val="left" w:pos="8085"/>
              </w:tabs>
              <w:spacing w:line="300" w:lineRule="exact"/>
              <w:jc w:val="both"/>
            </w:pPr>
            <w:r>
              <w:rPr>
                <w:rFonts w:hint="eastAsia" w:ascii="仿宋_GB2312" w:hAnsi="黑体" w:cs="黑体"/>
                <w:bCs/>
                <w:sz w:val="24"/>
              </w:rPr>
              <w:t>2025年1月在福建省第一届职业技能大赛组织工作突出，被人社厅评为特别贡献单位；2023年3月17日被人社部评为全国法治人社建设优秀单位；2021年3月被省社厅评为福建省和谐劳动关系示范区；2021年11月被评为全省人力资源和社会保障系统先进集体；连续多年被人力资源社会保障部办公厅评为劳动保障新闻宣传工作做得好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80" w:hRule="atLeast"/>
        </w:trPr>
        <w:tc>
          <w:tcPr>
            <w:tcW w:w="479" w:type="dxa"/>
            <w:vAlign w:val="center"/>
          </w:tcPr>
          <w:p>
            <w:pPr>
              <w:tabs>
                <w:tab w:val="left" w:pos="8085"/>
              </w:tabs>
              <w:spacing w:line="300" w:lineRule="exact"/>
              <w:jc w:val="center"/>
              <w:rPr>
                <w:rFonts w:ascii="仿宋_GB2312" w:hAnsi="仿宋_GB2312" w:cs="仿宋_GB2312"/>
                <w:sz w:val="24"/>
              </w:rPr>
            </w:pPr>
            <w:r>
              <w:rPr>
                <w:rFonts w:hint="eastAsia" w:ascii="仿宋_GB2312" w:hAnsi="仿宋_GB2312" w:cs="仿宋_GB2312"/>
                <w:sz w:val="24"/>
              </w:rPr>
              <w:t>4</w:t>
            </w:r>
          </w:p>
        </w:tc>
        <w:tc>
          <w:tcPr>
            <w:tcW w:w="1001" w:type="dxa"/>
            <w:vAlign w:val="center"/>
          </w:tcPr>
          <w:p>
            <w:pPr>
              <w:tabs>
                <w:tab w:val="left" w:pos="8085"/>
              </w:tabs>
              <w:spacing w:line="300" w:lineRule="exact"/>
              <w:jc w:val="center"/>
              <w:rPr>
                <w:rFonts w:hint="eastAsia" w:ascii="仿宋_GB2312" w:hAnsi="仿宋_GB2312" w:eastAsia="仿宋_GB2312" w:cs="仿宋_GB2312"/>
                <w:bCs/>
                <w:sz w:val="24"/>
                <w:lang w:eastAsia="zh-CN"/>
              </w:rPr>
            </w:pPr>
            <w:r>
              <w:rPr>
                <w:rFonts w:hint="eastAsia" w:ascii="仿宋_GB2312" w:hAnsi="仿宋_GB2312" w:cs="仿宋_GB2312"/>
                <w:bCs/>
                <w:sz w:val="24"/>
                <w:lang w:eastAsia="zh-CN"/>
              </w:rPr>
              <w:t>惠安县人民政府</w:t>
            </w:r>
          </w:p>
        </w:tc>
        <w:tc>
          <w:tcPr>
            <w:tcW w:w="1020" w:type="dxa"/>
            <w:vAlign w:val="center"/>
          </w:tcPr>
          <w:p>
            <w:pPr>
              <w:tabs>
                <w:tab w:val="left" w:pos="8085"/>
              </w:tabs>
              <w:spacing w:line="300" w:lineRule="exact"/>
              <w:jc w:val="center"/>
              <w:rPr>
                <w:rFonts w:ascii="仿宋_GB2312" w:hAnsi="仿宋_GB2312" w:cs="仿宋_GB2312"/>
                <w:bCs/>
                <w:sz w:val="24"/>
              </w:rPr>
            </w:pPr>
            <w:r>
              <w:rPr>
                <w:rFonts w:hint="eastAsia" w:ascii="仿宋_GB2312" w:hAnsi="仿宋_GB2312" w:cs="仿宋_GB2312"/>
                <w:bCs/>
                <w:sz w:val="24"/>
              </w:rPr>
              <w:t>惠安县人力资源和社会保障局</w:t>
            </w:r>
          </w:p>
        </w:tc>
        <w:tc>
          <w:tcPr>
            <w:tcW w:w="750" w:type="dxa"/>
            <w:vAlign w:val="center"/>
          </w:tcPr>
          <w:p>
            <w:pPr>
              <w:tabs>
                <w:tab w:val="left" w:pos="8085"/>
              </w:tabs>
              <w:spacing w:line="300" w:lineRule="exact"/>
              <w:jc w:val="center"/>
              <w:rPr>
                <w:rFonts w:ascii="仿宋_GB2312" w:hAnsi="仿宋_GB2312" w:cs="仿宋_GB2312"/>
                <w:bCs/>
                <w:sz w:val="24"/>
              </w:rPr>
            </w:pPr>
            <w:r>
              <w:rPr>
                <w:rFonts w:hint="eastAsia" w:ascii="仿宋_GB2312" w:hAnsi="仿宋_GB2312" w:cs="仿宋_GB2312"/>
                <w:bCs/>
                <w:sz w:val="24"/>
              </w:rPr>
              <w:t>行政机关</w:t>
            </w:r>
          </w:p>
        </w:tc>
        <w:tc>
          <w:tcPr>
            <w:tcW w:w="8670" w:type="dxa"/>
            <w:vAlign w:val="center"/>
          </w:tcPr>
          <w:p>
            <w:pPr>
              <w:spacing w:line="300" w:lineRule="exact"/>
              <w:jc w:val="center"/>
              <w:rPr>
                <w:rFonts w:ascii="仿宋_GB2312" w:hAnsi="仿宋_GB2312" w:cs="仿宋_GB2312"/>
                <w:bCs/>
                <w:sz w:val="24"/>
              </w:rPr>
            </w:pPr>
          </w:p>
          <w:p>
            <w:pPr>
              <w:spacing w:line="300" w:lineRule="exact"/>
              <w:jc w:val="center"/>
              <w:rPr>
                <w:rFonts w:ascii="仿宋_GB2312" w:hAnsi="仿宋_GB2312" w:cs="仿宋_GB2312"/>
                <w:bCs/>
                <w:sz w:val="24"/>
              </w:rPr>
            </w:pPr>
          </w:p>
          <w:p>
            <w:pPr>
              <w:spacing w:line="300" w:lineRule="exact"/>
              <w:jc w:val="center"/>
              <w:rPr>
                <w:rFonts w:ascii="仿宋_GB2312" w:hAnsi="仿宋_GB2312" w:cs="仿宋_GB2312"/>
                <w:bCs/>
                <w:sz w:val="24"/>
              </w:rPr>
            </w:pPr>
          </w:p>
          <w:p>
            <w:pPr>
              <w:spacing w:line="300" w:lineRule="exact"/>
              <w:jc w:val="center"/>
              <w:rPr>
                <w:rFonts w:ascii="仿宋_GB2312" w:hAnsi="仿宋_GB2312" w:cs="仿宋_GB2312"/>
                <w:bCs/>
                <w:sz w:val="24"/>
              </w:rPr>
            </w:pPr>
          </w:p>
          <w:p>
            <w:pPr>
              <w:spacing w:line="300" w:lineRule="exact"/>
              <w:jc w:val="center"/>
              <w:rPr>
                <w:rFonts w:ascii="仿宋_GB2312" w:hAnsi="仿宋_GB2312" w:cs="仿宋_GB2312"/>
                <w:bCs/>
                <w:sz w:val="24"/>
              </w:rPr>
            </w:pPr>
          </w:p>
          <w:p>
            <w:pPr>
              <w:spacing w:line="300" w:lineRule="exact"/>
              <w:jc w:val="center"/>
              <w:rPr>
                <w:rFonts w:ascii="仿宋_GB2312" w:hAnsi="仿宋_GB2312" w:cs="仿宋_GB2312"/>
                <w:bCs/>
                <w:sz w:val="24"/>
              </w:rPr>
            </w:pPr>
          </w:p>
          <w:p>
            <w:pPr>
              <w:spacing w:line="300" w:lineRule="exact"/>
              <w:jc w:val="center"/>
              <w:rPr>
                <w:rFonts w:ascii="仿宋_GB2312" w:hAnsi="仿宋_GB2312" w:cs="仿宋_GB2312"/>
                <w:bCs/>
                <w:sz w:val="24"/>
              </w:rPr>
            </w:pPr>
          </w:p>
          <w:p>
            <w:pPr>
              <w:spacing w:line="300" w:lineRule="exact"/>
              <w:jc w:val="both"/>
              <w:rPr>
                <w:rFonts w:ascii="仿宋_GB2312" w:hAnsi="仿宋_GB2312" w:cs="仿宋_GB2312"/>
                <w:bCs/>
                <w:sz w:val="24"/>
              </w:rPr>
            </w:pPr>
          </w:p>
          <w:p>
            <w:pPr>
              <w:spacing w:line="300" w:lineRule="exact"/>
              <w:ind w:firstLine="480" w:firstLineChars="200"/>
              <w:jc w:val="both"/>
              <w:rPr>
                <w:rFonts w:ascii="仿宋_GB2312" w:hAnsi="仿宋_GB2312" w:cs="仿宋_GB2312"/>
                <w:bCs/>
                <w:sz w:val="24"/>
              </w:rPr>
            </w:pPr>
            <w:r>
              <w:rPr>
                <w:rFonts w:hint="eastAsia" w:ascii="仿宋_GB2312" w:hAnsi="仿宋_GB2312" w:cs="仿宋_GB2312"/>
                <w:bCs/>
                <w:sz w:val="24"/>
              </w:rPr>
              <w:t>2021年来，惠安县人社局深耕就业创业、社保惠民、人才引育、劳动关系和谐四大核心领域，攻坚克难、争先创优，各项人社工作高质量发展成效显著。就业创业赋能提质，连续四年开展“聚惠享新年”特色就业活动，精准扶持重点群体就业，累计实现城镇新增就业18593人、养老保险扩面98085人，民生保障兜底更加坚实。人才队伍建设成果亮眼，累计新增市级以上高层次人才2247人，培育各级技能大师工作室22家、技能大师80人，3人获评政府特殊津贴人才。成功创建市级人力资源数字经济服务产业园，推动惠安技术学校复办仅3年成功升格为高级技工学校，“惠安石雕建筑师”入选全国劳务品牌典型案例。</w:t>
            </w:r>
          </w:p>
          <w:p>
            <w:pPr>
              <w:pStyle w:val="2"/>
            </w:pPr>
          </w:p>
          <w:p>
            <w:pPr>
              <w:pStyle w:val="2"/>
            </w:pPr>
          </w:p>
          <w:p>
            <w:pPr>
              <w:pStyle w:val="2"/>
            </w:pPr>
          </w:p>
          <w:p>
            <w:pPr>
              <w:pStyle w:val="2"/>
            </w:pPr>
          </w:p>
        </w:tc>
        <w:tc>
          <w:tcPr>
            <w:tcW w:w="1935" w:type="dxa"/>
            <w:vAlign w:val="center"/>
          </w:tcPr>
          <w:p>
            <w:pPr>
              <w:tabs>
                <w:tab w:val="left" w:pos="8085"/>
              </w:tabs>
              <w:spacing w:line="300" w:lineRule="exact"/>
              <w:jc w:val="both"/>
              <w:rPr>
                <w:rFonts w:ascii="仿宋_GB2312" w:hAnsi="黑体" w:cs="黑体"/>
                <w:bCs/>
                <w:sz w:val="24"/>
              </w:rPr>
            </w:pPr>
            <w:r>
              <w:rPr>
                <w:rFonts w:hint="eastAsia" w:ascii="仿宋_GB2312" w:hAnsi="黑体" w:cs="黑体"/>
                <w:bCs/>
                <w:sz w:val="24"/>
              </w:rPr>
              <w:t>2023年获泉州市2020-2022年度文明单位称号； 2020年至2024年，连续5年在市对县保障农民工工资支付考核中获评A级；2025年8月，惠安县人力资源数字经济产业园成功获评市级人力资源服务产业园；2025年11月，惠安县劳动人事争议仲裁委员会仲裁庭获评“省级标准化数字仲裁庭”； 2025年11月，“惠安石雕建筑师”成功入选全国劳务品牌典型案例。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40" w:hRule="atLeast"/>
        </w:trPr>
        <w:tc>
          <w:tcPr>
            <w:tcW w:w="479" w:type="dxa"/>
            <w:vAlign w:val="center"/>
          </w:tcPr>
          <w:p>
            <w:pPr>
              <w:tabs>
                <w:tab w:val="left" w:pos="8085"/>
              </w:tabs>
              <w:spacing w:line="300" w:lineRule="exact"/>
              <w:jc w:val="center"/>
              <w:rPr>
                <w:rFonts w:ascii="仿宋_GB2312" w:hAnsi="仿宋_GB2312" w:cs="仿宋_GB2312"/>
                <w:sz w:val="24"/>
              </w:rPr>
            </w:pPr>
            <w:r>
              <w:rPr>
                <w:rFonts w:hint="eastAsia" w:ascii="仿宋_GB2312" w:hAnsi="仿宋_GB2312" w:cs="仿宋_GB2312"/>
                <w:sz w:val="24"/>
              </w:rPr>
              <w:t>5</w:t>
            </w:r>
          </w:p>
        </w:tc>
        <w:tc>
          <w:tcPr>
            <w:tcW w:w="1001" w:type="dxa"/>
            <w:vAlign w:val="center"/>
          </w:tcPr>
          <w:p>
            <w:pPr>
              <w:tabs>
                <w:tab w:val="left" w:pos="8085"/>
              </w:tabs>
              <w:spacing w:line="300" w:lineRule="exact"/>
              <w:jc w:val="center"/>
              <w:rPr>
                <w:rFonts w:hint="eastAsia" w:ascii="仿宋_GB2312" w:hAnsi="仿宋_GB2312" w:eastAsia="仿宋_GB2312" w:cs="仿宋_GB2312"/>
                <w:sz w:val="24"/>
                <w:lang w:eastAsia="zh-CN"/>
              </w:rPr>
            </w:pPr>
            <w:r>
              <w:rPr>
                <w:rFonts w:hint="eastAsia" w:ascii="仿宋_GB2312" w:hAnsi="仿宋_GB2312" w:cs="仿宋_GB2312"/>
                <w:sz w:val="24"/>
                <w:lang w:eastAsia="zh-CN"/>
              </w:rPr>
              <w:t>安溪县人民政府</w:t>
            </w:r>
          </w:p>
        </w:tc>
        <w:tc>
          <w:tcPr>
            <w:tcW w:w="1020" w:type="dxa"/>
            <w:vAlign w:val="center"/>
          </w:tcPr>
          <w:p>
            <w:pPr>
              <w:tabs>
                <w:tab w:val="left" w:pos="8085"/>
              </w:tabs>
              <w:spacing w:line="300" w:lineRule="exact"/>
              <w:jc w:val="center"/>
              <w:rPr>
                <w:rFonts w:ascii="仿宋_GB2312" w:hAnsi="仿宋_GB2312" w:cs="仿宋_GB2312"/>
                <w:bCs/>
                <w:sz w:val="24"/>
              </w:rPr>
            </w:pPr>
            <w:r>
              <w:rPr>
                <w:rFonts w:hint="eastAsia" w:ascii="仿宋_GB2312" w:hAnsi="仿宋_GB2312" w:cs="仿宋_GB2312"/>
                <w:sz w:val="24"/>
              </w:rPr>
              <w:t>安溪县人力资源和社会保障局</w:t>
            </w:r>
          </w:p>
        </w:tc>
        <w:tc>
          <w:tcPr>
            <w:tcW w:w="750" w:type="dxa"/>
            <w:vAlign w:val="center"/>
          </w:tcPr>
          <w:p>
            <w:pPr>
              <w:tabs>
                <w:tab w:val="left" w:pos="8085"/>
              </w:tabs>
              <w:spacing w:line="300" w:lineRule="exact"/>
              <w:jc w:val="center"/>
              <w:rPr>
                <w:rFonts w:ascii="仿宋_GB2312" w:hAnsi="仿宋_GB2312" w:cs="仿宋_GB2312"/>
                <w:bCs/>
                <w:sz w:val="24"/>
              </w:rPr>
            </w:pPr>
            <w:r>
              <w:rPr>
                <w:rFonts w:hint="eastAsia" w:ascii="仿宋_GB2312" w:hAnsi="仿宋_GB2312" w:cs="仿宋_GB2312"/>
                <w:bCs/>
                <w:sz w:val="24"/>
              </w:rPr>
              <w:t>行政机关</w:t>
            </w:r>
          </w:p>
        </w:tc>
        <w:tc>
          <w:tcPr>
            <w:tcW w:w="8670" w:type="dxa"/>
            <w:vAlign w:val="center"/>
          </w:tcPr>
          <w:p>
            <w:pPr>
              <w:spacing w:line="300" w:lineRule="exact"/>
              <w:jc w:val="center"/>
              <w:rPr>
                <w:rFonts w:ascii="仿宋_GB2312" w:hAnsi="仿宋_GB2312" w:cs="仿宋_GB2312"/>
                <w:bCs/>
                <w:sz w:val="24"/>
              </w:rPr>
            </w:pPr>
          </w:p>
          <w:p>
            <w:pPr>
              <w:spacing w:line="300" w:lineRule="exact"/>
              <w:ind w:firstLine="480" w:firstLineChars="200"/>
              <w:jc w:val="left"/>
            </w:pPr>
            <w:r>
              <w:rPr>
                <w:rFonts w:hint="eastAsia" w:ascii="仿宋_GB2312" w:hAnsi="仿宋_GB2312" w:cs="仿宋_GB2312"/>
                <w:bCs/>
                <w:sz w:val="24"/>
              </w:rPr>
              <w:t>聚焦主责主业，履职尽责，攻坚克难，营商环境指标连续四年位居全市首位，各项重点工作成效明显。一是聚焦“准”服务，筑牢稳岗就业压舱石。通过出台配套政策、线上线下、赴省内外高校专项引才、打造零工市场（驿站）等，有效解决用工难题。孵化2个创业项目创业创新大赛省级二等奖并入围全国赛事。二是优化“暖”心办，打造社保质效高标杆。持续推进优化服务、基金监管等重点工作，每年均超额完成基本养老保险精准扩面任务，专项整治工作连续三个季度获评市级“好”等次。三是构建“全”链条，赋能产业人才培养新高地。实现国家级博士后科研工作站建设零突破，推荐获评国务院特殊津贴专家1人，培育国家级技能大师工作室1家，省市级技能大师26人、大师工作室19家。四是创新“快”调处，构建和谐劳动关系新格局。构建“部门+维权+仲裁”多方联动模式，专项整治防欠薪，多元化解防矛盾。妥善处置各类劳资投诉举报1.2万余件，劳动争议案件当期结案率100%。</w:t>
            </w:r>
          </w:p>
          <w:p>
            <w:pPr>
              <w:pStyle w:val="2"/>
            </w:pPr>
          </w:p>
          <w:p>
            <w:pPr>
              <w:pStyle w:val="2"/>
            </w:pPr>
          </w:p>
        </w:tc>
        <w:tc>
          <w:tcPr>
            <w:tcW w:w="1935" w:type="dxa"/>
            <w:vAlign w:val="center"/>
          </w:tcPr>
          <w:p>
            <w:pPr>
              <w:tabs>
                <w:tab w:val="left" w:pos="8085"/>
              </w:tabs>
              <w:spacing w:line="300" w:lineRule="exact"/>
              <w:jc w:val="both"/>
              <w:rPr>
                <w:rFonts w:ascii="仿宋_GB2312" w:hAnsi="黑体" w:cs="黑体"/>
                <w:bCs/>
                <w:sz w:val="24"/>
              </w:rPr>
            </w:pPr>
            <w:r>
              <w:rPr>
                <w:rFonts w:hint="eastAsia" w:ascii="仿宋_GB2312" w:hAnsi="黑体" w:cs="黑体"/>
                <w:bCs/>
                <w:sz w:val="24"/>
              </w:rPr>
              <w:t xml:space="preserve">2024年8月被人社部办公厅授予2023-2024年度劳动保障新闻宣传工作做得好的单位； 2024年1月被泉州市征兵领导小组授予2023年度全市征兵工作先进单位； 2023年11月被省政府授予福建省第三批节约型机关建成单位；2023年11月，被泉州市委、市政府授予泉州市2020一2022年度文明单位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79" w:type="dxa"/>
            <w:vAlign w:val="center"/>
          </w:tcPr>
          <w:p>
            <w:pPr>
              <w:tabs>
                <w:tab w:val="left" w:pos="8085"/>
              </w:tabs>
              <w:spacing w:line="300" w:lineRule="exact"/>
              <w:jc w:val="center"/>
              <w:rPr>
                <w:rFonts w:ascii="仿宋_GB2312" w:hAnsi="仿宋_GB2312" w:cs="仿宋_GB2312"/>
                <w:sz w:val="24"/>
              </w:rPr>
            </w:pPr>
            <w:r>
              <w:rPr>
                <w:rFonts w:hint="eastAsia" w:ascii="仿宋_GB2312" w:hAnsi="仿宋_GB2312" w:cs="仿宋_GB2312"/>
                <w:sz w:val="24"/>
              </w:rPr>
              <w:t>6</w:t>
            </w:r>
          </w:p>
        </w:tc>
        <w:tc>
          <w:tcPr>
            <w:tcW w:w="1001" w:type="dxa"/>
            <w:vAlign w:val="center"/>
          </w:tcPr>
          <w:p>
            <w:pPr>
              <w:tabs>
                <w:tab w:val="left" w:pos="8085"/>
              </w:tabs>
              <w:spacing w:line="300" w:lineRule="exact"/>
              <w:jc w:val="center"/>
              <w:rPr>
                <w:rFonts w:hint="eastAsia" w:ascii="仿宋_GB2312" w:hAnsi="仿宋_GB2312" w:eastAsia="仿宋_GB2312" w:cs="仿宋_GB2312"/>
                <w:bCs/>
                <w:sz w:val="24"/>
                <w:lang w:eastAsia="zh-CN"/>
              </w:rPr>
            </w:pPr>
            <w:r>
              <w:rPr>
                <w:rFonts w:hint="eastAsia" w:ascii="仿宋_GB2312" w:hAnsi="仿宋_GB2312" w:cs="仿宋_GB2312"/>
                <w:bCs/>
                <w:sz w:val="24"/>
                <w:lang w:eastAsia="zh-CN"/>
              </w:rPr>
              <w:t>德化县人民政府</w:t>
            </w:r>
          </w:p>
        </w:tc>
        <w:tc>
          <w:tcPr>
            <w:tcW w:w="1020" w:type="dxa"/>
            <w:vAlign w:val="center"/>
          </w:tcPr>
          <w:p>
            <w:pPr>
              <w:tabs>
                <w:tab w:val="left" w:pos="8085"/>
              </w:tabs>
              <w:spacing w:line="300" w:lineRule="exact"/>
              <w:jc w:val="center"/>
              <w:rPr>
                <w:rFonts w:ascii="仿宋_GB2312" w:hAnsi="仿宋_GB2312" w:cs="仿宋_GB2312"/>
                <w:bCs/>
                <w:sz w:val="24"/>
              </w:rPr>
            </w:pPr>
            <w:r>
              <w:rPr>
                <w:rFonts w:hint="eastAsia" w:ascii="仿宋_GB2312" w:hAnsi="仿宋_GB2312" w:cs="仿宋_GB2312"/>
                <w:bCs/>
                <w:sz w:val="24"/>
              </w:rPr>
              <w:t>德化县人力资源和社会保障局</w:t>
            </w:r>
          </w:p>
        </w:tc>
        <w:tc>
          <w:tcPr>
            <w:tcW w:w="750" w:type="dxa"/>
            <w:vAlign w:val="center"/>
          </w:tcPr>
          <w:p>
            <w:pPr>
              <w:tabs>
                <w:tab w:val="left" w:pos="8085"/>
              </w:tabs>
              <w:spacing w:line="300" w:lineRule="exact"/>
              <w:jc w:val="center"/>
              <w:rPr>
                <w:rFonts w:ascii="仿宋_GB2312" w:hAnsi="仿宋_GB2312" w:cs="仿宋_GB2312"/>
                <w:bCs/>
                <w:sz w:val="24"/>
              </w:rPr>
            </w:pPr>
            <w:r>
              <w:rPr>
                <w:rFonts w:hint="eastAsia" w:ascii="仿宋_GB2312" w:hAnsi="仿宋_GB2312" w:cs="仿宋_GB2312"/>
                <w:bCs/>
                <w:sz w:val="24"/>
              </w:rPr>
              <w:t>行政机关</w:t>
            </w:r>
          </w:p>
        </w:tc>
        <w:tc>
          <w:tcPr>
            <w:tcW w:w="8670" w:type="dxa"/>
            <w:vAlign w:val="center"/>
          </w:tcPr>
          <w:p>
            <w:pPr>
              <w:spacing w:line="300" w:lineRule="exact"/>
              <w:jc w:val="center"/>
              <w:rPr>
                <w:rFonts w:ascii="仿宋_GB2312" w:hAnsi="仿宋_GB2312" w:cs="仿宋_GB2312"/>
                <w:bCs/>
                <w:sz w:val="24"/>
              </w:rPr>
            </w:pPr>
            <w:r>
              <w:rPr>
                <w:rFonts w:hint="eastAsia" w:ascii="仿宋_GB2312" w:hAnsi="仿宋_GB2312" w:cs="仿宋_GB2312"/>
                <w:bCs/>
                <w:sz w:val="24"/>
              </w:rPr>
              <w:t>围绕省市工作部署，紧扣县域产业发展需求，认真履职担当，多项工作位居省、市前列。在全省率先实施“五险合署办公”改革，被作为市纪委、市营商办在全市推行“五险合署办公”的样板；建成全省首家县级劳动能力鉴定站，并在学习强国、今日头条、省人民政府官网、福建日报等媒体刊物刊发；在全省率先出台吸引和留住外来员工13条措施,成为“十四五”期间泉州市唯一人口净增长山区县；在全市率先设置“园丁专设岗位”,破解具备中高级专业技术资格的优秀教师、临近退休教师职称聘用难题;在陶瓷产业园区建成省级高技能人才培训基地，获上级补助500万元，同鑫陶瓷获评省级产业链头部企业实训基地，获补助200万元。相关经验做法在《人力资源社会保障工作信息》上刊发1篇，在全省推广3篇。</w:t>
            </w:r>
          </w:p>
        </w:tc>
        <w:tc>
          <w:tcPr>
            <w:tcW w:w="1935" w:type="dxa"/>
            <w:vAlign w:val="center"/>
          </w:tcPr>
          <w:p>
            <w:pPr>
              <w:tabs>
                <w:tab w:val="left" w:pos="8085"/>
              </w:tabs>
              <w:spacing w:line="300" w:lineRule="exact"/>
              <w:jc w:val="both"/>
              <w:rPr>
                <w:rFonts w:ascii="黑体" w:hAnsi="黑体" w:eastAsia="黑体" w:cs="黑体"/>
                <w:bCs/>
                <w:sz w:val="21"/>
                <w:szCs w:val="21"/>
              </w:rPr>
            </w:pPr>
            <w:r>
              <w:rPr>
                <w:rFonts w:hint="eastAsia" w:ascii="仿宋_GB2312" w:hAnsi="宋体" w:cs="宋体"/>
                <w:bCs/>
                <w:color w:val="000000"/>
                <w:sz w:val="24"/>
              </w:rPr>
              <w:t>2021年2月获评2020年度德化县产业提升与民生发展强基促稳工作先进集体。2021年11月获评全省人力资源和社会保障系统先进集体。2023年11月荣获福建省2024年2月获评2023年度德化县推动产城融合发展民生福祉工作先进集体。2026年2月获评2025年度全县政务信息工作成绩突出单位。2026年5月获评2025年度全省人社系统新闻宣传工作</w:t>
            </w:r>
            <w:r>
              <w:rPr>
                <w:rFonts w:hint="eastAsia" w:ascii="仿宋_GB2312" w:hAnsi="宋体" w:cs="宋体"/>
                <w:bCs/>
                <w:color w:val="000000"/>
                <w:sz w:val="24"/>
                <w:szCs w:val="36"/>
              </w:rPr>
              <w:t>做得好的单位。</w:t>
            </w:r>
          </w:p>
        </w:tc>
      </w:tr>
    </w:tbl>
    <w:p>
      <w:pPr>
        <w:spacing w:line="560" w:lineRule="exact"/>
      </w:pPr>
    </w:p>
    <w:sectPr>
      <w:headerReference r:id="rId3" w:type="default"/>
      <w:footerReference r:id="rId4" w:type="default"/>
      <w:pgSz w:w="16838" w:h="11906" w:orient="landscape"/>
      <w:pgMar w:top="1418" w:right="1588" w:bottom="1418" w:left="1474"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楷体_GB2312">
    <w:altName w:val="楷体"/>
    <w:panose1 w:val="02010609030101010101"/>
    <w:charset w:val="86"/>
    <w:family w:val="modern"/>
    <w:pitch w:val="default"/>
    <w:sig w:usb0="00000000" w:usb1="00000000" w:usb2="00000010" w:usb3="00000000" w:csb0="00040000" w:csb1="00000000"/>
  </w:font>
  <w:font w:name="方正小标宋简体">
    <w:panose1 w:val="02000000000000000000"/>
    <w:charset w:val="86"/>
    <w:family w:val="auto"/>
    <w:pitch w:val="default"/>
    <w:sig w:usb0="A00002BF" w:usb1="184F6CFA" w:usb2="00000012"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ind w:right="360" w:firstLine="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true"/>
  <w:bordersDoNotSurroundFooter w:val="true"/>
  <w:documentProtection w:enforcement="0"/>
  <w:defaultTabStop w:val="420"/>
  <w:drawingGridVerticalSpacing w:val="218"/>
  <w:displayHorizontalDrawingGridEvery w:val="0"/>
  <w:displayVerticalDrawingGridEvery w:val="2"/>
  <w:doNotShadeFormData w:val="true"/>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3A5AC2"/>
    <w:rsid w:val="00027372"/>
    <w:rsid w:val="00114239"/>
    <w:rsid w:val="00166245"/>
    <w:rsid w:val="00211EDA"/>
    <w:rsid w:val="0031002E"/>
    <w:rsid w:val="00351F9F"/>
    <w:rsid w:val="00397660"/>
    <w:rsid w:val="003A5AC2"/>
    <w:rsid w:val="00435A83"/>
    <w:rsid w:val="00586692"/>
    <w:rsid w:val="006449DA"/>
    <w:rsid w:val="006B2C5C"/>
    <w:rsid w:val="007642EC"/>
    <w:rsid w:val="00A90961"/>
    <w:rsid w:val="00B40CD6"/>
    <w:rsid w:val="00CB7D4B"/>
    <w:rsid w:val="00EB6A49"/>
    <w:rsid w:val="00F20F81"/>
    <w:rsid w:val="00FF6036"/>
    <w:rsid w:val="00FF673B"/>
    <w:rsid w:val="073228C9"/>
    <w:rsid w:val="07DF0035"/>
    <w:rsid w:val="0901321A"/>
    <w:rsid w:val="0C8F1359"/>
    <w:rsid w:val="0CCB1F53"/>
    <w:rsid w:val="0D645222"/>
    <w:rsid w:val="12DF7E1A"/>
    <w:rsid w:val="13982333"/>
    <w:rsid w:val="13D5453C"/>
    <w:rsid w:val="14FD7FAB"/>
    <w:rsid w:val="17231CAA"/>
    <w:rsid w:val="172C0FEB"/>
    <w:rsid w:val="17506314"/>
    <w:rsid w:val="198220C6"/>
    <w:rsid w:val="1BBD5CEF"/>
    <w:rsid w:val="230B610D"/>
    <w:rsid w:val="2503628E"/>
    <w:rsid w:val="25741299"/>
    <w:rsid w:val="258848A3"/>
    <w:rsid w:val="32B059CD"/>
    <w:rsid w:val="33387117"/>
    <w:rsid w:val="335F7BC4"/>
    <w:rsid w:val="35C304EE"/>
    <w:rsid w:val="38A4425E"/>
    <w:rsid w:val="3F7B950B"/>
    <w:rsid w:val="3FFF0524"/>
    <w:rsid w:val="40B206B3"/>
    <w:rsid w:val="410D7365"/>
    <w:rsid w:val="44F7126C"/>
    <w:rsid w:val="45E2287C"/>
    <w:rsid w:val="47C554E1"/>
    <w:rsid w:val="4A96396C"/>
    <w:rsid w:val="4E8642F1"/>
    <w:rsid w:val="4F55790E"/>
    <w:rsid w:val="518A579F"/>
    <w:rsid w:val="527A4DDA"/>
    <w:rsid w:val="545C7D24"/>
    <w:rsid w:val="553A1D4D"/>
    <w:rsid w:val="567D330E"/>
    <w:rsid w:val="57503F52"/>
    <w:rsid w:val="5A17324D"/>
    <w:rsid w:val="5CBB1C98"/>
    <w:rsid w:val="60E65A85"/>
    <w:rsid w:val="65F7412E"/>
    <w:rsid w:val="67BE1F7F"/>
    <w:rsid w:val="69725190"/>
    <w:rsid w:val="6E7E7D06"/>
    <w:rsid w:val="6ED13E46"/>
    <w:rsid w:val="6FFFADB5"/>
    <w:rsid w:val="736C2C7E"/>
    <w:rsid w:val="744E2436"/>
    <w:rsid w:val="77B7007B"/>
    <w:rsid w:val="77FD5769"/>
    <w:rsid w:val="77FEE9A2"/>
    <w:rsid w:val="7AFA668D"/>
    <w:rsid w:val="7BAD011E"/>
    <w:rsid w:val="7BFF80A4"/>
    <w:rsid w:val="7CFC2F65"/>
    <w:rsid w:val="7F5C8C6A"/>
    <w:rsid w:val="7FD69FB6"/>
    <w:rsid w:val="7FFF4644"/>
    <w:rsid w:val="7FFFFE24"/>
    <w:rsid w:val="9BEEA40A"/>
    <w:rsid w:val="B6DDF917"/>
    <w:rsid w:val="B7BB53BF"/>
    <w:rsid w:val="B7E3E28F"/>
    <w:rsid w:val="CEFF7EFB"/>
    <w:rsid w:val="CFCD29A9"/>
    <w:rsid w:val="CFFF0248"/>
    <w:rsid w:val="D6BBEAFB"/>
    <w:rsid w:val="D7C99429"/>
    <w:rsid w:val="D7FF1B37"/>
    <w:rsid w:val="DFBF27AE"/>
    <w:rsid w:val="DFFF8330"/>
    <w:rsid w:val="E7FF5286"/>
    <w:rsid w:val="ECF3D2A9"/>
    <w:rsid w:val="EE7FA414"/>
    <w:rsid w:val="EF230DDF"/>
    <w:rsid w:val="FCA78205"/>
    <w:rsid w:val="FD7F7060"/>
    <w:rsid w:val="FEA77E17"/>
    <w:rsid w:val="FEBDE8BE"/>
    <w:rsid w:val="FFDFE440"/>
    <w:rsid w:val="FFDFEF94"/>
    <w:rsid w:val="FFFFA4C0"/>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0" w:semiHidden="0" w:name="index 5"/>
    <w:lsdException w:qFormat="1" w:uiPriority="99"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2"/>
      <w:szCs w:val="24"/>
      <w:lang w:val="en-US" w:eastAsia="zh-CN" w:bidi="ar-SA"/>
    </w:rPr>
  </w:style>
  <w:style w:type="character" w:default="1" w:styleId="12">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2">
    <w:name w:val="Normal Indent"/>
    <w:unhideWhenUsed/>
    <w:qFormat/>
    <w:uiPriority w:val="99"/>
    <w:pPr>
      <w:widowControl w:val="0"/>
      <w:ind w:firstLine="420" w:firstLineChars="200"/>
      <w:jc w:val="both"/>
    </w:pPr>
    <w:rPr>
      <w:rFonts w:ascii="Times New Roman" w:hAnsi="Times New Roman" w:eastAsia="宋体" w:cs="Times New Roman"/>
      <w:kern w:val="2"/>
      <w:sz w:val="21"/>
      <w:szCs w:val="24"/>
      <w:lang w:val="en-US" w:eastAsia="zh-CN" w:bidi="ar-SA"/>
    </w:rPr>
  </w:style>
  <w:style w:type="paragraph" w:styleId="3">
    <w:name w:val="index 5"/>
    <w:basedOn w:val="1"/>
    <w:next w:val="1"/>
    <w:qFormat/>
    <w:uiPriority w:val="0"/>
    <w:rPr>
      <w:rFonts w:ascii="楷体_GB2312" w:eastAsia="楷体_GB2312"/>
      <w:szCs w:val="32"/>
    </w:rPr>
  </w:style>
  <w:style w:type="paragraph" w:styleId="4">
    <w:name w:val="index 6"/>
    <w:next w:val="1"/>
    <w:unhideWhenUsed/>
    <w:qFormat/>
    <w:uiPriority w:val="99"/>
    <w:pPr>
      <w:widowControl w:val="0"/>
      <w:ind w:left="1000" w:leftChars="1000"/>
      <w:jc w:val="both"/>
    </w:pPr>
    <w:rPr>
      <w:rFonts w:ascii="Times New Roman" w:hAnsi="Times New Roman" w:eastAsia="仿宋_GB2312" w:cs="Times New Roman"/>
      <w:kern w:val="2"/>
      <w:sz w:val="32"/>
      <w:szCs w:val="24"/>
      <w:lang w:val="en-US" w:eastAsia="zh-CN" w:bidi="ar-SA"/>
    </w:rPr>
  </w:style>
  <w:style w:type="paragraph" w:styleId="5">
    <w:name w:val="Body Text"/>
    <w:next w:val="4"/>
    <w:unhideWhenUsed/>
    <w:qFormat/>
    <w:uiPriority w:val="0"/>
    <w:pPr>
      <w:widowControl w:val="0"/>
      <w:ind w:firstLine="883" w:firstLineChars="200"/>
      <w:jc w:val="both"/>
    </w:pPr>
    <w:rPr>
      <w:rFonts w:ascii="Times New Roman" w:hAnsi="Times New Roman" w:eastAsia="宋体" w:cs="Times New Roman"/>
      <w:kern w:val="2"/>
      <w:sz w:val="21"/>
      <w:szCs w:val="24"/>
      <w:lang w:val="en-US" w:eastAsia="zh-CN" w:bidi="ar-SA"/>
    </w:rPr>
  </w:style>
  <w:style w:type="paragraph" w:styleId="6">
    <w:name w:val="footer"/>
    <w:qFormat/>
    <w:uiPriority w:val="0"/>
    <w:pPr>
      <w:widowControl w:val="0"/>
      <w:tabs>
        <w:tab w:val="center" w:pos="4153"/>
        <w:tab w:val="right" w:pos="8306"/>
      </w:tabs>
      <w:snapToGrid w:val="0"/>
    </w:pPr>
    <w:rPr>
      <w:rFonts w:ascii="Times New Roman" w:hAnsi="Times New Roman" w:eastAsia="仿宋_GB2312" w:cs="Times New Roman"/>
      <w:kern w:val="2"/>
      <w:sz w:val="18"/>
      <w:szCs w:val="18"/>
      <w:lang w:val="en-US" w:eastAsia="zh-CN" w:bidi="ar-SA"/>
    </w:rPr>
  </w:style>
  <w:style w:type="paragraph" w:styleId="7">
    <w:name w:val="header"/>
    <w:qFormat/>
    <w:uiPriority w:val="0"/>
    <w:pPr>
      <w:widowControl w:val="0"/>
      <w:pBdr>
        <w:bottom w:val="single" w:color="auto" w:sz="6" w:space="1"/>
      </w:pBdr>
      <w:tabs>
        <w:tab w:val="center" w:pos="4153"/>
        <w:tab w:val="right" w:pos="8306"/>
      </w:tabs>
      <w:snapToGrid w:val="0"/>
      <w:jc w:val="center"/>
    </w:pPr>
    <w:rPr>
      <w:rFonts w:ascii="Times New Roman" w:hAnsi="Times New Roman" w:eastAsia="仿宋_GB2312" w:cs="Times New Roman"/>
      <w:kern w:val="2"/>
      <w:sz w:val="18"/>
      <w:szCs w:val="18"/>
      <w:lang w:val="en-US" w:eastAsia="zh-CN" w:bidi="ar-SA"/>
    </w:rPr>
  </w:style>
  <w:style w:type="paragraph" w:styleId="8">
    <w:name w:val="Normal (Web)"/>
    <w:unhideWhenUsed/>
    <w:qFormat/>
    <w:uiPriority w:val="0"/>
    <w:rPr>
      <w:rFonts w:ascii="宋体" w:hAnsi="宋体" w:eastAsia="宋体" w:cs="宋体"/>
      <w:sz w:val="24"/>
      <w:szCs w:val="24"/>
      <w:lang w:val="en-US" w:eastAsia="zh-CN" w:bidi="ar-SA"/>
    </w:rPr>
  </w:style>
  <w:style w:type="paragraph" w:styleId="9">
    <w:name w:val="Body Text First Indent"/>
    <w:next w:val="5"/>
    <w:qFormat/>
    <w:uiPriority w:val="0"/>
    <w:pPr>
      <w:widowControl w:val="0"/>
      <w:ind w:firstLine="420" w:firstLineChars="100"/>
      <w:jc w:val="both"/>
    </w:pPr>
    <w:rPr>
      <w:rFonts w:ascii="Times New Roman" w:hAnsi="Times New Roman" w:eastAsia="宋体" w:cs="Times New Roman"/>
      <w:lang w:val="en-US" w:eastAsia="zh-CN" w:bidi="ar-SA"/>
    </w:rPr>
  </w:style>
  <w:style w:type="table" w:styleId="11">
    <w:name w:val="Table Grid"/>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
  </w:style>
  <w:style w:type="character" w:styleId="13">
    <w:name w:val="page number"/>
    <w:qFormat/>
    <w:uiPriority w:val="0"/>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6</Pages>
  <Words>601</Words>
  <Characters>3432</Characters>
  <Lines>28</Lines>
  <Paragraphs>8</Paragraphs>
  <TotalTime>10</TotalTime>
  <ScaleCrop>false</ScaleCrop>
  <LinksUpToDate>false</LinksUpToDate>
  <CharactersWithSpaces>4025</CharactersWithSpaces>
  <Application>WPS Office_11.8.2.10125_F1E327BC-269C-435d-A152-05C5408002CA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2025-10-15T02:24:00Z</dcterms:created>
  <dc:creator>HGL</dc:creator>
  <cp:lastModifiedBy>user</cp:lastModifiedBy>
  <cp:lastPrinted>2026-06-11T17:01:00Z</cp:lastPrinted>
  <dcterms:modified xsi:type="dcterms:W3CDTF">2026-07-30T16:47:27Z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2052-11.8.2.10125</vt:lpwstr>
  </property>
  <property fmtid="{D5CDD505-2E9C-101B-9397-08002B2CF9AE}" pid="3" name="ICV">
    <vt:lpwstr>6239931894AA42F4A2EA0723BF1AA4FA_13</vt:lpwstr>
  </property>
  <property fmtid="{D5CDD505-2E9C-101B-9397-08002B2CF9AE}" pid="4" name="KSOTemplateDocerSaveRecord">
    <vt:lpwstr>eyJoZGlkIjoiNDFmMjk0ODNmNjkxYjk1YzljMWQ2NDg2NmJiYWI2MmYifQ==</vt:lpwstr>
  </property>
</Properties>
</file>