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ascii="黑体" w:hAnsi="黑体" w:eastAsia="黑体" w:cs="黑体"/>
          <w:color w:val="333333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333333"/>
          <w:kern w:val="0"/>
          <w:sz w:val="32"/>
          <w:szCs w:val="32"/>
        </w:rPr>
        <w:t>附件</w:t>
      </w:r>
      <w:r>
        <w:rPr>
          <w:rFonts w:ascii="黑体" w:hAnsi="黑体" w:eastAsia="黑体" w:cs="黑体"/>
          <w:color w:val="333333"/>
          <w:kern w:val="0"/>
          <w:sz w:val="32"/>
          <w:szCs w:val="32"/>
        </w:rPr>
        <w:t>3</w:t>
      </w:r>
    </w:p>
    <w:p>
      <w:pPr>
        <w:widowControl/>
        <w:jc w:val="left"/>
        <w:rPr>
          <w:rFonts w:ascii="黑体" w:hAnsi="黑体" w:eastAsia="黑体" w:cs="黑体"/>
          <w:color w:val="333333"/>
          <w:kern w:val="0"/>
          <w:sz w:val="32"/>
          <w:szCs w:val="32"/>
        </w:rPr>
      </w:pPr>
    </w:p>
    <w:p>
      <w:pPr>
        <w:widowControl/>
        <w:spacing w:line="560" w:lineRule="exact"/>
        <w:jc w:val="center"/>
        <w:rPr>
          <w:rFonts w:ascii="宋体" w:cs="Times New Roman"/>
          <w:kern w:val="0"/>
          <w:sz w:val="44"/>
          <w:szCs w:val="44"/>
        </w:rPr>
      </w:pPr>
      <w:r>
        <w:rPr>
          <w:rFonts w:hint="eastAsia" w:ascii="宋体" w:hAnsi="宋体" w:cs="宋体"/>
          <w:kern w:val="0"/>
          <w:sz w:val="44"/>
          <w:szCs w:val="44"/>
        </w:rPr>
        <w:t>市级评估报告提纲</w:t>
      </w:r>
    </w:p>
    <w:p>
      <w:pPr>
        <w:widowControl/>
        <w:spacing w:line="560" w:lineRule="exact"/>
        <w:ind w:firstLine="640" w:firstLineChars="200"/>
        <w:jc w:val="left"/>
        <w:rPr>
          <w:rFonts w:ascii="仿宋_GB2312" w:hAnsi="华文中宋" w:eastAsia="仿宋_GB2312" w:cs="Times New Roman"/>
          <w:kern w:val="0"/>
          <w:sz w:val="32"/>
          <w:szCs w:val="32"/>
        </w:rPr>
      </w:pPr>
    </w:p>
    <w:p>
      <w:pPr>
        <w:widowControl/>
        <w:spacing w:line="560" w:lineRule="exact"/>
        <w:ind w:firstLine="640" w:firstLineChars="200"/>
        <w:jc w:val="left"/>
        <w:rPr>
          <w:rFonts w:ascii="仿宋" w:hAnsi="仿宋" w:eastAsia="仿宋" w:cs="Times New Roman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一、市级评估工作组织实施情况</w:t>
      </w:r>
    </w:p>
    <w:p>
      <w:pPr>
        <w:widowControl/>
        <w:spacing w:line="560" w:lineRule="exact"/>
        <w:ind w:firstLine="640" w:firstLineChars="200"/>
        <w:jc w:val="left"/>
        <w:rPr>
          <w:rFonts w:ascii="仿宋" w:hAnsi="仿宋" w:eastAsia="仿宋" w:cs="Times New Roman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二、对各项复评内容的评估结果</w:t>
      </w:r>
    </w:p>
    <w:p>
      <w:pPr>
        <w:spacing w:line="560" w:lineRule="exact"/>
        <w:ind w:firstLine="645"/>
        <w:rPr>
          <w:rFonts w:ascii="仿宋" w:hAnsi="仿宋" w:eastAsia="仿宋" w:cs="Times New Roman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三、发现的典型经验做法</w:t>
      </w:r>
    </w:p>
    <w:p>
      <w:pPr>
        <w:spacing w:line="560" w:lineRule="exact"/>
        <w:ind w:firstLine="645"/>
        <w:rPr>
          <w:rFonts w:ascii="仿宋" w:hAnsi="仿宋" w:eastAsia="仿宋" w:cs="Times New Roman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四、发现的问题及整改意见</w:t>
      </w:r>
    </w:p>
    <w:p>
      <w:pPr>
        <w:spacing w:line="560" w:lineRule="exact"/>
        <w:ind w:firstLine="645"/>
        <w:rPr>
          <w:rFonts w:ascii="仿宋" w:hAnsi="仿宋" w:eastAsia="仿宋" w:cs="Times New Roman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五、评估结论（须明确提出是否保留复评对象为省级示范基地的意见）</w:t>
      </w:r>
    </w:p>
    <w:p>
      <w:pPr>
        <w:rPr>
          <w:rFonts w:ascii="Times New Roman" w:hAnsi="Times New Roman" w:eastAsia="仿宋_GB2312" w:cs="Times New Roman"/>
          <w:sz w:val="32"/>
          <w:szCs w:val="32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2C1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2023-12-15T07:33:33Z</dcterms:created>
  <dc:creator>User</dc:creator>
  <cp:lastModifiedBy>User</cp:lastModifiedBy>
  <dcterms:modified xsi:type="dcterms:W3CDTF">2023-12-15T07:33:44Z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