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2023年度国家级高技能人才培训基地和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大师工作室推荐名单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国家级高技能人才培训基地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泉州市高级技工学校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泉州职业技术大学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国家级技能大师工作室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林建胜技能大师工作室   德化县聚益瓷雕工艺厂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杨庆聪技能大师工作室   </w:t>
      </w:r>
      <w:r>
        <w:rPr>
          <w:rFonts w:hint="eastAsia" w:ascii="仿宋_GB2312" w:hAnsi="仿宋_GB2312" w:eastAsia="仿宋_GB2312" w:cs="仿宋_GB2312"/>
          <w:w w:val="100"/>
          <w:kern w:val="0"/>
          <w:sz w:val="32"/>
          <w:szCs w:val="32"/>
          <w:lang w:val="en-US" w:eastAsia="zh-CN"/>
        </w:rPr>
        <w:t>福建惠安县洛阳庆达石雕艺术有限公司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w w:val="9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361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BD55E9"/>
    <w:multiLevelType w:val="singleLevel"/>
    <w:tmpl w:val="DFBD55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DB7E5B"/>
    <w:rsid w:val="DBD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2023-09-08T16:55:00Z</dcterms:created>
  <dc:creator>user</dc:creator>
  <cp:lastModifiedBy>user</cp:lastModifiedBy>
  <dcterms:modified xsi:type="dcterms:W3CDTF">2023-09-08T16:56:30Z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