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</w:rPr>
        <w:t>市本级202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</w:rPr>
        <w:t>年春节期间一次性稳定就业拟奖补情况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  <w:lang w:eastAsia="zh-CN"/>
        </w:rPr>
        <w:t>表</w:t>
      </w:r>
    </w:p>
    <w:p>
      <w:pPr>
        <w:spacing w:line="520" w:lineRule="exact"/>
        <w:jc w:val="center"/>
        <w:rPr>
          <w:rFonts w:hint="eastAsia" w:ascii="宋体" w:hAnsi="宋体" w:cs="宋体"/>
          <w:sz w:val="36"/>
          <w:szCs w:val="36"/>
        </w:rPr>
      </w:pPr>
    </w:p>
    <w:tbl>
      <w:tblPr>
        <w:tblStyle w:val="2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738"/>
        <w:gridCol w:w="1515"/>
        <w:gridCol w:w="1863"/>
        <w:gridCol w:w="1889"/>
        <w:gridCol w:w="1454"/>
        <w:gridCol w:w="1787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月失业保险职工数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（人）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月失业保险职工数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（人）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在职且实际有发放工资的失业保险职工数（人）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在职且实际有发放工资的失业保险职工数（人）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实际裁员率（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奖补金额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（万元）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  <w:t>泉州市燃气有限公司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477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478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329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333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-1.2%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1000元/人，按2月在职且实际有发放工资的失业保险333人计算奖补金额，每家企业奖补金额封顶30万元。取最高金额30万元。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A3EF3"/>
    <w:rsid w:val="08BF7D5E"/>
    <w:rsid w:val="0905312A"/>
    <w:rsid w:val="13217CAF"/>
    <w:rsid w:val="1FEC57D3"/>
    <w:rsid w:val="270D0FAE"/>
    <w:rsid w:val="299B6FCD"/>
    <w:rsid w:val="2A1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2021-06-02T03:06:00Z</dcterms:created>
  <dc:creator>abao</dc:creator>
  <cp:lastModifiedBy>梦</cp:lastModifiedBy>
  <dcterms:modified xsi:type="dcterms:W3CDTF">2021-06-04T03:03:32Z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8F506BD4146B481D975C20C676A50A71</vt:lpwstr>
  </property>
</Properties>
</file>