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ascii="黑体" w:hAnsi="黑体" w:eastAsia="黑体" w:cs="黑体"/>
          <w:color w:val="000000"/>
          <w:kern w:val="2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page" w:tblpX="1839" w:tblpY="970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86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  <w:t>属地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  <w:t>工作站名称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bidi="ar"/>
              </w:rPr>
              <w:t>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评估等级为优秀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</w:rPr>
              <w:t>的博士后科研工作站（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晋江市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福建晋江高科技园区企业博士后科研工作站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1999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丰泽区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福建南方路面机械有限公司博士后科研工作站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2006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石狮市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泉州高新技术产业开发区石狮园博士后科研工作站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2003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评估等级为良好的博士后科研工作站（</w:t>
            </w:r>
            <w:r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南安市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成功科技园区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2003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鲤城区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福建火炬电子科技股份有限公司博士后科研工作站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2013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南安市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九牧厨卫股份有限公司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2018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丰泽区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南威软件股份有限公司博士后科研工作站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2015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洛江区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信和新材料股份有限公司博士后科研工作站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2015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洛江区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福建省铁拓机械股份有限公司博士后科研工作站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2018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开发区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泉州经济技术开发区博士后科研工作站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2000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丰泽区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福建医科大学附属第二医院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2015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鲤城区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福建省泉州海天材料科技股份有限公司博士后工作站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2006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鲤城区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泉州市鲤城高新技术产业开发区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2013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泉港区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泉州市泉港中心工业区博士后科研工作站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2002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评估等级为合格的博士后科研工作站（</w:t>
            </w:r>
            <w:r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32"/>
                <w:szCs w:val="32"/>
                <w:lang w:bidi="ar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lang w:bidi="ar"/>
              </w:rPr>
              <w:t>南安市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天广中茂股份有限公司博士后科研工作站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2010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</w:t>
            </w:r>
          </w:p>
        </w:tc>
      </w:tr>
    </w:tbl>
    <w:p>
      <w:pPr>
        <w:pStyle w:val="5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年博士后科研工作站考核结果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Microsoft Yi Baiti"/>
    <w:panose1 w:val="03000509000000000000"/>
    <w:charset w:val="00"/>
    <w:family w:val="script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8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11385DC3"/>
    <w:rsid w:val="516D7CD9"/>
    <w:rsid w:val="67E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next w:val="1"/>
    <w:semiHidden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0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2023-05-09T09:06:00Z</dcterms:created>
  <dc:creator>Administrator</dc:creator>
  <cp:lastModifiedBy>梦</cp:lastModifiedBy>
  <dcterms:modified xsi:type="dcterms:W3CDTF">2023-05-09T09:14:14Z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D0FAF167A6474ADDBE1D79AD6E6A7F64_12</vt:lpwstr>
  </property>
</Properties>
</file>