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20" w:lineRule="exact"/>
        <w:jc w:val="both"/>
        <w:rPr>
          <w:rFonts w:ascii="Times New Roman" w:hAnsi="Times New Roman" w:eastAsia="黑体"/>
          <w:sz w:val="32"/>
          <w:szCs w:val="32"/>
        </w:rPr>
      </w:pPr>
      <w:r>
        <w:rPr>
          <w:rFonts w:ascii="Times New Roman" w:hAnsi="Times New Roman" w:eastAsia="黑体"/>
          <w:sz w:val="32"/>
          <w:szCs w:val="32"/>
        </w:rPr>
        <w:t>附件</w:t>
      </w:r>
    </w:p>
    <w:p>
      <w:pPr>
        <w:widowControl/>
        <w:spacing w:line="520" w:lineRule="exact"/>
        <w:jc w:val="left"/>
        <w:rPr>
          <w:rFonts w:eastAsia="方正小标宋简体"/>
          <w:color w:val="000000"/>
          <w:kern w:val="0"/>
          <w:sz w:val="44"/>
          <w:szCs w:val="44"/>
          <w:lang w:bidi="ar"/>
        </w:rPr>
      </w:pPr>
    </w:p>
    <w:p>
      <w:pPr>
        <w:widowControl/>
        <w:spacing w:line="520" w:lineRule="exact"/>
        <w:ind w:firstLine="440" w:firstLineChars="100"/>
        <w:jc w:val="left"/>
        <w:rPr>
          <w:rFonts w:eastAsia="方正小标宋简体"/>
          <w:color w:val="000000"/>
          <w:kern w:val="0"/>
          <w:sz w:val="44"/>
          <w:szCs w:val="44"/>
          <w:lang w:bidi="ar"/>
        </w:rPr>
      </w:pPr>
      <w:r>
        <w:rPr>
          <w:rFonts w:eastAsia="方正小标宋简体"/>
          <w:color w:val="000000"/>
          <w:kern w:val="0"/>
          <w:sz w:val="44"/>
          <w:szCs w:val="44"/>
          <w:lang w:bidi="ar"/>
        </w:rPr>
        <w:t>泉州市技工院校办学能力评估指标及说明</w:t>
      </w:r>
    </w:p>
    <w:p>
      <w:pPr>
        <w:widowControl/>
        <w:spacing w:line="520" w:lineRule="exact"/>
        <w:ind w:firstLine="630"/>
        <w:jc w:val="left"/>
        <w:rPr>
          <w:color w:val="000000"/>
          <w:kern w:val="0"/>
          <w:szCs w:val="32"/>
          <w:lang w:bidi="ar"/>
        </w:rPr>
      </w:pPr>
    </w:p>
    <w:p>
      <w:pPr>
        <w:widowControl/>
        <w:spacing w:line="560" w:lineRule="exact"/>
        <w:ind w:firstLine="640" w:firstLineChars="200"/>
        <w:jc w:val="left"/>
        <w:rPr>
          <w:rFonts w:eastAsia="黑体"/>
          <w:color w:val="000000"/>
          <w:kern w:val="0"/>
          <w:szCs w:val="32"/>
          <w:lang w:bidi="ar"/>
        </w:rPr>
      </w:pPr>
      <w:r>
        <w:rPr>
          <w:rFonts w:eastAsia="黑体"/>
          <w:color w:val="000000"/>
          <w:kern w:val="0"/>
          <w:szCs w:val="32"/>
          <w:lang w:bidi="ar"/>
        </w:rPr>
        <w:t>一、泉州市技工院校办学能力评估指标</w:t>
      </w:r>
    </w:p>
    <w:p>
      <w:pPr>
        <w:widowControl/>
        <w:spacing w:line="560" w:lineRule="exact"/>
        <w:ind w:firstLine="630"/>
        <w:jc w:val="left"/>
        <w:rPr>
          <w:color w:val="000000"/>
          <w:kern w:val="0"/>
          <w:szCs w:val="32"/>
          <w:lang w:bidi="ar"/>
        </w:rPr>
      </w:pPr>
      <w:r>
        <w:rPr>
          <w:color w:val="000000"/>
          <w:kern w:val="0"/>
          <w:szCs w:val="32"/>
          <w:lang w:bidi="ar"/>
        </w:rPr>
        <w:t>1.年生均财政拨款水平和学校办学投入</w:t>
      </w:r>
    </w:p>
    <w:p>
      <w:pPr>
        <w:widowControl/>
        <w:spacing w:line="560" w:lineRule="exact"/>
        <w:ind w:firstLine="630"/>
        <w:jc w:val="left"/>
        <w:rPr>
          <w:color w:val="000000"/>
          <w:kern w:val="0"/>
          <w:szCs w:val="32"/>
          <w:lang w:bidi="ar"/>
        </w:rPr>
      </w:pPr>
      <w:r>
        <w:rPr>
          <w:color w:val="000000"/>
          <w:kern w:val="0"/>
          <w:szCs w:val="32"/>
          <w:lang w:bidi="ar"/>
        </w:rPr>
        <w:t>2.生均教学仪器、实训设备值</w:t>
      </w:r>
    </w:p>
    <w:p>
      <w:pPr>
        <w:widowControl/>
        <w:spacing w:line="560" w:lineRule="exact"/>
        <w:ind w:firstLine="630"/>
        <w:jc w:val="left"/>
        <w:rPr>
          <w:color w:val="000000"/>
          <w:kern w:val="0"/>
          <w:szCs w:val="32"/>
          <w:lang w:bidi="ar"/>
        </w:rPr>
      </w:pPr>
      <w:r>
        <w:rPr>
          <w:color w:val="000000"/>
          <w:kern w:val="0"/>
          <w:szCs w:val="32"/>
          <w:lang w:bidi="ar"/>
        </w:rPr>
        <w:t>3.生均教学及辅助、行政办公用房面积</w:t>
      </w:r>
    </w:p>
    <w:p>
      <w:pPr>
        <w:widowControl/>
        <w:spacing w:line="560" w:lineRule="exact"/>
        <w:ind w:firstLine="630"/>
        <w:jc w:val="left"/>
        <w:rPr>
          <w:color w:val="000000"/>
          <w:kern w:val="0"/>
          <w:szCs w:val="32"/>
          <w:lang w:bidi="ar"/>
        </w:rPr>
      </w:pPr>
      <w:r>
        <w:rPr>
          <w:color w:val="000000"/>
          <w:kern w:val="0"/>
          <w:szCs w:val="32"/>
          <w:lang w:bidi="ar"/>
        </w:rPr>
        <w:t>4.信息化教学条件</w:t>
      </w:r>
    </w:p>
    <w:p>
      <w:pPr>
        <w:widowControl/>
        <w:spacing w:line="560" w:lineRule="exact"/>
        <w:ind w:firstLine="640"/>
        <w:jc w:val="left"/>
        <w:rPr>
          <w:color w:val="000000"/>
          <w:kern w:val="0"/>
          <w:szCs w:val="32"/>
          <w:lang w:bidi="ar"/>
        </w:rPr>
      </w:pPr>
      <w:r>
        <w:rPr>
          <w:color w:val="000000"/>
          <w:kern w:val="0"/>
          <w:szCs w:val="32"/>
          <w:lang w:bidi="ar"/>
        </w:rPr>
        <w:t>5.生均校内实践教学工位数</w:t>
      </w:r>
    </w:p>
    <w:p>
      <w:pPr>
        <w:pStyle w:val="2"/>
        <w:spacing w:line="560" w:lineRule="exact"/>
        <w:ind w:firstLine="640"/>
        <w:rPr>
          <w:rFonts w:ascii="Times New Roman" w:hAnsi="Times New Roman"/>
        </w:rPr>
      </w:pPr>
      <w:r>
        <w:rPr>
          <w:rFonts w:ascii="Times New Roman" w:hAnsi="Times New Roman" w:eastAsia="仿宋_GB2312"/>
          <w:color w:val="000000"/>
          <w:kern w:val="0"/>
          <w:sz w:val="32"/>
          <w:szCs w:val="32"/>
          <w:lang w:bidi="ar"/>
        </w:rPr>
        <w:t>6.校园安全管理</w:t>
      </w:r>
    </w:p>
    <w:p>
      <w:pPr>
        <w:widowControl/>
        <w:spacing w:line="560" w:lineRule="exact"/>
        <w:ind w:firstLine="630"/>
        <w:jc w:val="left"/>
        <w:rPr>
          <w:color w:val="000000"/>
          <w:kern w:val="0"/>
          <w:szCs w:val="32"/>
          <w:lang w:bidi="ar"/>
        </w:rPr>
      </w:pPr>
      <w:r>
        <w:rPr>
          <w:color w:val="000000"/>
          <w:kern w:val="0"/>
          <w:szCs w:val="32"/>
          <w:lang w:bidi="ar"/>
        </w:rPr>
        <w:t>7.生师比</w:t>
      </w:r>
    </w:p>
    <w:p>
      <w:pPr>
        <w:widowControl/>
        <w:spacing w:line="560" w:lineRule="exact"/>
        <w:ind w:firstLine="630"/>
        <w:jc w:val="left"/>
        <w:rPr>
          <w:color w:val="000000"/>
          <w:kern w:val="0"/>
          <w:szCs w:val="32"/>
          <w:lang w:bidi="ar"/>
        </w:rPr>
      </w:pPr>
      <w:r>
        <w:rPr>
          <w:color w:val="000000"/>
          <w:kern w:val="0"/>
          <w:szCs w:val="32"/>
          <w:lang w:bidi="ar"/>
        </w:rPr>
        <w:t>8.“双师型”教师比例</w:t>
      </w:r>
    </w:p>
    <w:p>
      <w:pPr>
        <w:widowControl/>
        <w:spacing w:line="560" w:lineRule="exact"/>
        <w:ind w:firstLine="630"/>
        <w:jc w:val="left"/>
        <w:rPr>
          <w:color w:val="000000"/>
          <w:kern w:val="0"/>
          <w:szCs w:val="32"/>
          <w:lang w:bidi="ar"/>
        </w:rPr>
      </w:pPr>
      <w:r>
        <w:rPr>
          <w:color w:val="000000"/>
          <w:kern w:val="0"/>
          <w:szCs w:val="32"/>
          <w:lang w:bidi="ar"/>
        </w:rPr>
        <w:t>9.课程开设结构及教学教研活动</w:t>
      </w:r>
    </w:p>
    <w:p>
      <w:pPr>
        <w:widowControl/>
        <w:spacing w:line="560" w:lineRule="exact"/>
        <w:ind w:firstLine="630"/>
        <w:jc w:val="left"/>
        <w:rPr>
          <w:color w:val="000000"/>
          <w:kern w:val="0"/>
          <w:szCs w:val="32"/>
          <w:lang w:bidi="ar"/>
        </w:rPr>
      </w:pPr>
      <w:r>
        <w:rPr>
          <w:color w:val="000000"/>
          <w:kern w:val="0"/>
          <w:szCs w:val="32"/>
          <w:lang w:bidi="ar"/>
        </w:rPr>
        <w:t>10.年生均校外实训基地实习时间</w:t>
      </w:r>
    </w:p>
    <w:p>
      <w:pPr>
        <w:widowControl/>
        <w:spacing w:line="560" w:lineRule="exact"/>
        <w:ind w:firstLine="630"/>
        <w:jc w:val="left"/>
        <w:rPr>
          <w:color w:val="000000"/>
          <w:kern w:val="0"/>
          <w:szCs w:val="32"/>
          <w:lang w:bidi="ar"/>
        </w:rPr>
      </w:pPr>
      <w:r>
        <w:rPr>
          <w:color w:val="000000"/>
          <w:kern w:val="0"/>
          <w:szCs w:val="32"/>
          <w:lang w:bidi="ar"/>
        </w:rPr>
        <w:t>11.企业订单学生所占比例</w:t>
      </w:r>
    </w:p>
    <w:p>
      <w:pPr>
        <w:widowControl/>
        <w:spacing w:line="560" w:lineRule="exact"/>
        <w:ind w:right="-1430" w:rightChars="-447" w:firstLine="640" w:firstLineChars="200"/>
        <w:jc w:val="left"/>
        <w:rPr>
          <w:color w:val="000000"/>
          <w:kern w:val="0"/>
          <w:szCs w:val="32"/>
          <w:lang w:bidi="ar"/>
        </w:rPr>
      </w:pPr>
      <w:r>
        <w:rPr>
          <w:color w:val="000000"/>
          <w:kern w:val="0"/>
          <w:szCs w:val="32"/>
          <w:lang w:bidi="ar"/>
        </w:rPr>
        <w:t>12.年支付企业兼职教师课酬、年专任专业教师社保缴交情况</w:t>
      </w:r>
    </w:p>
    <w:p>
      <w:pPr>
        <w:widowControl/>
        <w:spacing w:line="560" w:lineRule="exact"/>
        <w:ind w:firstLine="630"/>
        <w:jc w:val="left"/>
        <w:rPr>
          <w:color w:val="000000"/>
          <w:kern w:val="0"/>
          <w:szCs w:val="32"/>
          <w:lang w:bidi="ar"/>
        </w:rPr>
      </w:pPr>
      <w:r>
        <w:rPr>
          <w:color w:val="000000"/>
          <w:kern w:val="0"/>
          <w:szCs w:val="32"/>
          <w:lang w:bidi="ar"/>
        </w:rPr>
        <w:t>13.年专任专业教师企业实践时间</w:t>
      </w:r>
    </w:p>
    <w:p>
      <w:pPr>
        <w:widowControl/>
        <w:spacing w:line="560" w:lineRule="exact"/>
        <w:ind w:firstLine="630"/>
        <w:jc w:val="left"/>
        <w:rPr>
          <w:color w:val="000000"/>
          <w:kern w:val="0"/>
          <w:szCs w:val="32"/>
          <w:lang w:bidi="ar"/>
        </w:rPr>
      </w:pPr>
      <w:r>
        <w:rPr>
          <w:color w:val="000000"/>
          <w:kern w:val="0"/>
          <w:szCs w:val="32"/>
          <w:lang w:bidi="ar"/>
        </w:rPr>
        <w:t>14.企业提供的校内实践教学设备值</w:t>
      </w:r>
    </w:p>
    <w:p>
      <w:pPr>
        <w:pStyle w:val="2"/>
        <w:spacing w:line="560" w:lineRule="exact"/>
        <w:ind w:firstLine="640" w:firstLineChars="200"/>
        <w:rPr>
          <w:rFonts w:ascii="Times New Roman" w:hAnsi="Times New Roman"/>
        </w:rPr>
      </w:pPr>
      <w:r>
        <w:rPr>
          <w:rFonts w:ascii="Times New Roman" w:hAnsi="Times New Roman" w:eastAsia="仿宋_GB2312"/>
          <w:color w:val="000000"/>
          <w:kern w:val="0"/>
          <w:sz w:val="32"/>
          <w:szCs w:val="32"/>
          <w:lang w:bidi="ar"/>
        </w:rPr>
        <w:t>15.建立合作企业数</w:t>
      </w:r>
    </w:p>
    <w:p>
      <w:pPr>
        <w:widowControl/>
        <w:spacing w:line="560" w:lineRule="exact"/>
        <w:ind w:firstLine="630"/>
        <w:jc w:val="left"/>
        <w:rPr>
          <w:color w:val="000000"/>
          <w:kern w:val="0"/>
          <w:szCs w:val="32"/>
          <w:lang w:bidi="ar"/>
        </w:rPr>
      </w:pPr>
      <w:r>
        <w:rPr>
          <w:color w:val="000000"/>
          <w:kern w:val="0"/>
          <w:szCs w:val="32"/>
          <w:lang w:bidi="ar"/>
        </w:rPr>
        <w:t>16.毕业生职业资格证书获取率</w:t>
      </w:r>
    </w:p>
    <w:p>
      <w:pPr>
        <w:widowControl/>
        <w:spacing w:line="560" w:lineRule="exact"/>
        <w:ind w:firstLine="630"/>
        <w:jc w:val="left"/>
        <w:rPr>
          <w:color w:val="000000"/>
          <w:kern w:val="0"/>
          <w:szCs w:val="32"/>
          <w:lang w:bidi="ar"/>
        </w:rPr>
      </w:pPr>
      <w:r>
        <w:rPr>
          <w:color w:val="000000"/>
          <w:kern w:val="0"/>
          <w:szCs w:val="32"/>
          <w:lang w:bidi="ar"/>
        </w:rPr>
        <w:t>17.三年巩固率</w:t>
      </w:r>
    </w:p>
    <w:p>
      <w:pPr>
        <w:widowControl/>
        <w:spacing w:line="560" w:lineRule="exact"/>
        <w:ind w:firstLine="630"/>
        <w:jc w:val="left"/>
        <w:rPr>
          <w:color w:val="000000"/>
          <w:kern w:val="0"/>
          <w:szCs w:val="32"/>
          <w:lang w:bidi="ar"/>
        </w:rPr>
      </w:pPr>
      <w:r>
        <w:rPr>
          <w:color w:val="000000"/>
          <w:kern w:val="0"/>
          <w:szCs w:val="32"/>
          <w:lang w:bidi="ar"/>
        </w:rPr>
        <w:t>18.直接就业率</w:t>
      </w:r>
    </w:p>
    <w:p>
      <w:pPr>
        <w:widowControl/>
        <w:spacing w:line="560" w:lineRule="exact"/>
        <w:ind w:left="1226" w:leftChars="233" w:hanging="480" w:hangingChars="150"/>
        <w:jc w:val="left"/>
        <w:rPr>
          <w:color w:val="000000"/>
          <w:kern w:val="0"/>
          <w:szCs w:val="32"/>
          <w:lang w:bidi="ar"/>
        </w:rPr>
      </w:pPr>
      <w:r>
        <w:rPr>
          <w:color w:val="000000"/>
          <w:kern w:val="0"/>
          <w:szCs w:val="32"/>
          <w:lang w:bidi="ar"/>
        </w:rPr>
        <w:t>19.技能竞赛、社会化培训和职业技能鉴定的规模、社会影响力</w:t>
      </w:r>
    </w:p>
    <w:p>
      <w:pPr>
        <w:pStyle w:val="2"/>
        <w:spacing w:line="560" w:lineRule="exact"/>
        <w:ind w:firstLine="640" w:firstLineChars="200"/>
        <w:rPr>
          <w:rFonts w:ascii="Times New Roman" w:hAnsi="Times New Roman"/>
        </w:rPr>
      </w:pPr>
      <w:r>
        <w:rPr>
          <w:rFonts w:ascii="Times New Roman" w:hAnsi="Times New Roman" w:eastAsia="仿宋_GB2312"/>
          <w:color w:val="000000"/>
          <w:kern w:val="0"/>
          <w:sz w:val="32"/>
          <w:szCs w:val="32"/>
          <w:lang w:bidi="ar"/>
        </w:rPr>
        <w:t>20.设置专业与区域产业匹配度</w:t>
      </w:r>
    </w:p>
    <w:p>
      <w:pPr>
        <w:widowControl/>
        <w:spacing w:line="560" w:lineRule="exact"/>
        <w:ind w:firstLine="640" w:firstLineChars="200"/>
        <w:jc w:val="left"/>
        <w:rPr>
          <w:rFonts w:eastAsia="黑体"/>
          <w:color w:val="000000"/>
          <w:kern w:val="0"/>
          <w:szCs w:val="32"/>
          <w:lang w:bidi="ar"/>
        </w:rPr>
      </w:pPr>
      <w:r>
        <w:rPr>
          <w:rFonts w:eastAsia="黑体"/>
          <w:color w:val="000000"/>
          <w:kern w:val="0"/>
          <w:szCs w:val="32"/>
          <w:lang w:bidi="ar"/>
        </w:rPr>
        <w:t>二、指标说明</w:t>
      </w:r>
    </w:p>
    <w:p>
      <w:pPr>
        <w:widowControl/>
        <w:spacing w:line="560" w:lineRule="exact"/>
        <w:ind w:firstLine="630"/>
        <w:jc w:val="left"/>
        <w:rPr>
          <w:color w:val="000000"/>
          <w:kern w:val="0"/>
          <w:szCs w:val="32"/>
          <w:lang w:bidi="ar"/>
        </w:rPr>
      </w:pPr>
      <w:r>
        <w:rPr>
          <w:color w:val="000000"/>
          <w:kern w:val="0"/>
          <w:szCs w:val="32"/>
          <w:lang w:bidi="ar"/>
        </w:rPr>
        <w:t>1.年生均财政拨款水平和学校办学投入：指学校通过各种财政渠道获得的经费收入以及学校举办者的资金投入，包括财政预算内、预算外、专项、经常性补贴等，按全日制学历教育在校生人数折算的平均水平。</w:t>
      </w:r>
    </w:p>
    <w:p>
      <w:pPr>
        <w:widowControl/>
        <w:spacing w:line="560" w:lineRule="exact"/>
        <w:ind w:firstLine="630"/>
        <w:jc w:val="left"/>
        <w:rPr>
          <w:color w:val="000000"/>
          <w:kern w:val="0"/>
          <w:szCs w:val="32"/>
          <w:lang w:bidi="ar"/>
        </w:rPr>
      </w:pPr>
      <w:r>
        <w:rPr>
          <w:color w:val="000000"/>
          <w:kern w:val="0"/>
          <w:szCs w:val="32"/>
          <w:lang w:bidi="ar"/>
        </w:rPr>
        <w:t>2.生均教学仪器、实训设备值：指学校教学仪器设备总资产值与在校生总数之比。教学仪器设备资产值是指学校固定资产中用于教学、实验、实习、科研等仪器设备的资产值。</w:t>
      </w:r>
    </w:p>
    <w:p>
      <w:pPr>
        <w:widowControl/>
        <w:spacing w:line="560" w:lineRule="exact"/>
        <w:ind w:firstLine="630"/>
        <w:jc w:val="left"/>
        <w:rPr>
          <w:color w:val="000000"/>
          <w:kern w:val="0"/>
          <w:szCs w:val="32"/>
          <w:lang w:bidi="ar"/>
        </w:rPr>
      </w:pPr>
      <w:r>
        <w:rPr>
          <w:color w:val="000000"/>
          <w:kern w:val="0"/>
          <w:szCs w:val="32"/>
          <w:lang w:bidi="ar"/>
        </w:rPr>
        <w:t>3.生均教学及辅助、行政办公用房面积：指学校教学及辅助用房和行政办公用房总面积与全日制学历教育在校生总数之比。</w:t>
      </w:r>
    </w:p>
    <w:p>
      <w:pPr>
        <w:widowControl/>
        <w:spacing w:line="560" w:lineRule="exact"/>
        <w:ind w:firstLine="630"/>
        <w:jc w:val="left"/>
        <w:rPr>
          <w:color w:val="000000"/>
          <w:kern w:val="0"/>
          <w:szCs w:val="32"/>
          <w:lang w:bidi="ar"/>
        </w:rPr>
      </w:pPr>
      <w:r>
        <w:rPr>
          <w:color w:val="000000"/>
          <w:kern w:val="0"/>
          <w:szCs w:val="32"/>
          <w:lang w:bidi="ar"/>
        </w:rPr>
        <w:t>4.信息化教学条件：指技工学校保障教学的信息技术条件情况，包括每百名学生拥有教学用终端（计算机）数、网络多媒体教室数、接入互联网出口带宽、上网课程总量情况等。</w:t>
      </w:r>
    </w:p>
    <w:p>
      <w:pPr>
        <w:widowControl/>
        <w:spacing w:line="560" w:lineRule="exact"/>
        <w:ind w:firstLine="630"/>
        <w:jc w:val="left"/>
        <w:rPr>
          <w:color w:val="000000"/>
          <w:kern w:val="0"/>
          <w:szCs w:val="32"/>
          <w:lang w:bidi="ar"/>
        </w:rPr>
      </w:pPr>
      <w:r>
        <w:rPr>
          <w:color w:val="000000"/>
          <w:kern w:val="0"/>
          <w:szCs w:val="32"/>
          <w:lang w:bidi="ar"/>
        </w:rPr>
        <w:t>5.生均校内实践教学工位数：指学校校内实践（实习、实训）场所进行实践教学的工位数,即实践教学过程最基本的“做中学”单元数，按全日制学历教育在校生人数折算的平均水平。</w:t>
      </w:r>
    </w:p>
    <w:p>
      <w:pPr>
        <w:widowControl/>
        <w:spacing w:line="560" w:lineRule="exact"/>
        <w:ind w:firstLine="630"/>
        <w:jc w:val="left"/>
        <w:rPr>
          <w:color w:val="000000"/>
          <w:kern w:val="0"/>
          <w:szCs w:val="32"/>
          <w:lang w:bidi="ar"/>
        </w:rPr>
      </w:pPr>
      <w:r>
        <w:rPr>
          <w:color w:val="000000"/>
          <w:kern w:val="0"/>
          <w:szCs w:val="32"/>
          <w:lang w:bidi="ar"/>
        </w:rPr>
        <w:t>6.校园安全管理：指校园内各种建筑、场地和设施符合国家建设和安全标准，满足学校办学需要；校门口及周边环境安全评估。</w:t>
      </w:r>
    </w:p>
    <w:p>
      <w:pPr>
        <w:widowControl/>
        <w:spacing w:line="560" w:lineRule="exact"/>
        <w:ind w:firstLine="630"/>
        <w:jc w:val="left"/>
        <w:rPr>
          <w:color w:val="000000"/>
          <w:kern w:val="0"/>
          <w:szCs w:val="32"/>
          <w:lang w:bidi="ar"/>
        </w:rPr>
      </w:pPr>
      <w:r>
        <w:rPr>
          <w:color w:val="000000"/>
          <w:kern w:val="0"/>
          <w:szCs w:val="32"/>
          <w:lang w:bidi="ar"/>
        </w:rPr>
        <w:t>7.生师比：指学校每位专任教师平均所教的学生数。</w:t>
      </w:r>
    </w:p>
    <w:p>
      <w:pPr>
        <w:widowControl/>
        <w:spacing w:line="560" w:lineRule="exact"/>
        <w:ind w:firstLine="630"/>
        <w:jc w:val="left"/>
        <w:rPr>
          <w:color w:val="000000"/>
          <w:kern w:val="0"/>
          <w:szCs w:val="32"/>
          <w:lang w:bidi="ar"/>
        </w:rPr>
      </w:pPr>
      <w:r>
        <w:rPr>
          <w:color w:val="000000"/>
          <w:kern w:val="0"/>
          <w:szCs w:val="32"/>
          <w:lang w:bidi="ar"/>
        </w:rPr>
        <w:t>8.“双师型”教师比例：指学校“双师型”（具备教师资格和行业能力资格）专任教师数占专任教师总数的百分比。</w:t>
      </w:r>
    </w:p>
    <w:p>
      <w:pPr>
        <w:widowControl/>
        <w:spacing w:line="560" w:lineRule="exact"/>
        <w:ind w:firstLine="630"/>
        <w:jc w:val="left"/>
        <w:rPr>
          <w:color w:val="000000"/>
          <w:kern w:val="0"/>
          <w:szCs w:val="32"/>
          <w:lang w:bidi="ar"/>
        </w:rPr>
      </w:pPr>
      <w:r>
        <w:rPr>
          <w:color w:val="000000"/>
          <w:kern w:val="0"/>
          <w:szCs w:val="32"/>
          <w:lang w:bidi="ar"/>
        </w:rPr>
        <w:t>9.课程开设结构及教学教研活动：指学校文化课、德育、思政、专业理论、实践教学等课程开设情况；教学教研活动开展情况。</w:t>
      </w:r>
    </w:p>
    <w:p>
      <w:pPr>
        <w:widowControl/>
        <w:spacing w:line="560" w:lineRule="exact"/>
        <w:ind w:firstLine="630"/>
        <w:jc w:val="left"/>
        <w:rPr>
          <w:color w:val="000000"/>
          <w:kern w:val="0"/>
          <w:szCs w:val="32"/>
          <w:lang w:bidi="ar"/>
        </w:rPr>
      </w:pPr>
      <w:r>
        <w:rPr>
          <w:color w:val="000000"/>
          <w:kern w:val="0"/>
          <w:szCs w:val="32"/>
          <w:lang w:bidi="ar"/>
        </w:rPr>
        <w:t>10.年生均校外实训基地实习时间：指上学年在校学生参加校外实训（实习、实践）基地（指校企签订合作协议的基地）实习时间，按全日制学历教育在校生人数折算的平均水平。</w:t>
      </w:r>
    </w:p>
    <w:p>
      <w:pPr>
        <w:widowControl/>
        <w:spacing w:line="560" w:lineRule="exact"/>
        <w:ind w:firstLine="630"/>
        <w:jc w:val="left"/>
        <w:rPr>
          <w:color w:val="000000"/>
          <w:kern w:val="0"/>
          <w:szCs w:val="32"/>
          <w:lang w:bidi="ar"/>
        </w:rPr>
      </w:pPr>
      <w:r>
        <w:rPr>
          <w:color w:val="000000"/>
          <w:kern w:val="0"/>
          <w:szCs w:val="32"/>
          <w:lang w:bidi="ar"/>
        </w:rPr>
        <w:t>11.企业订单学生所占比例：指学校接受企业订单（指用人单位与学校签订合同约定相关就业和服务年限的订单）的学生人数占学生总数的比例。</w:t>
      </w:r>
    </w:p>
    <w:p>
      <w:pPr>
        <w:widowControl/>
        <w:spacing w:line="560" w:lineRule="exact"/>
        <w:ind w:firstLine="630"/>
        <w:jc w:val="left"/>
        <w:rPr>
          <w:color w:val="000000"/>
          <w:kern w:val="0"/>
          <w:szCs w:val="32"/>
          <w:lang w:bidi="ar"/>
        </w:rPr>
      </w:pPr>
      <w:r>
        <w:rPr>
          <w:color w:val="000000"/>
          <w:kern w:val="0"/>
          <w:szCs w:val="32"/>
          <w:lang w:bidi="ar"/>
        </w:rPr>
        <w:t>12.年支付企业兼职教师课酬：指学校每年度用于支付企业兼职教师报酬的总金额；年专任专业教师社保缴交情况：指学校每年度用于支付专任专业教师社保费用的总金额。</w:t>
      </w:r>
    </w:p>
    <w:p>
      <w:pPr>
        <w:widowControl/>
        <w:spacing w:line="560" w:lineRule="exact"/>
        <w:ind w:firstLine="630"/>
        <w:jc w:val="left"/>
        <w:rPr>
          <w:color w:val="000000"/>
          <w:kern w:val="0"/>
          <w:szCs w:val="32"/>
          <w:lang w:bidi="ar"/>
        </w:rPr>
      </w:pPr>
      <w:r>
        <w:rPr>
          <w:color w:val="000000"/>
          <w:kern w:val="0"/>
          <w:szCs w:val="32"/>
          <w:lang w:bidi="ar"/>
        </w:rPr>
        <w:t>13.年专任专业教师企业实践时间：指学校每年度专任专业教师参加企业实践的时间总和，以及每年度学校专任专业教师人均参加企业实践时间。</w:t>
      </w:r>
    </w:p>
    <w:p>
      <w:pPr>
        <w:widowControl/>
        <w:spacing w:line="560" w:lineRule="exact"/>
        <w:ind w:firstLine="630"/>
        <w:jc w:val="left"/>
        <w:rPr>
          <w:color w:val="000000"/>
          <w:kern w:val="0"/>
          <w:szCs w:val="32"/>
          <w:lang w:bidi="ar"/>
        </w:rPr>
      </w:pPr>
      <w:r>
        <w:rPr>
          <w:color w:val="000000"/>
          <w:kern w:val="0"/>
          <w:szCs w:val="32"/>
          <w:lang w:bidi="ar"/>
        </w:rPr>
        <w:t>14.企业提供的校内实践教学设备值：指企业为学校提供的实践教学设备（设备在学校，产权属企业，学校有使用权）的总资产值。</w:t>
      </w:r>
    </w:p>
    <w:p>
      <w:pPr>
        <w:widowControl/>
        <w:spacing w:line="560" w:lineRule="exact"/>
        <w:ind w:firstLine="630"/>
        <w:jc w:val="left"/>
        <w:rPr>
          <w:color w:val="000000"/>
          <w:kern w:val="0"/>
          <w:szCs w:val="32"/>
          <w:lang w:bidi="ar"/>
        </w:rPr>
      </w:pPr>
      <w:r>
        <w:rPr>
          <w:color w:val="000000"/>
          <w:kern w:val="0"/>
          <w:szCs w:val="32"/>
          <w:lang w:bidi="ar"/>
        </w:rPr>
        <w:t>15.建立合作企业数：每个专业与企业建立稳定合作关系，并建有稳定合作关系的校外实习基地。</w:t>
      </w:r>
    </w:p>
    <w:p>
      <w:pPr>
        <w:widowControl/>
        <w:spacing w:line="560" w:lineRule="exact"/>
        <w:ind w:firstLine="630"/>
        <w:jc w:val="left"/>
        <w:rPr>
          <w:color w:val="000000"/>
          <w:kern w:val="0"/>
          <w:szCs w:val="32"/>
          <w:lang w:bidi="ar"/>
        </w:rPr>
      </w:pPr>
      <w:r>
        <w:rPr>
          <w:color w:val="000000"/>
          <w:kern w:val="0"/>
          <w:szCs w:val="32"/>
          <w:lang w:bidi="ar"/>
        </w:rPr>
        <w:t>16.毕业生职业资格证书获取率：指学校当年已获取所学专业国家资格认定体系内职业资格证书（职业技能等级证书、专项能力证书）的毕业生数占毕业生总数的百分比。</w:t>
      </w:r>
    </w:p>
    <w:p>
      <w:pPr>
        <w:widowControl/>
        <w:spacing w:line="560" w:lineRule="exact"/>
        <w:ind w:firstLine="630"/>
        <w:jc w:val="left"/>
        <w:rPr>
          <w:color w:val="000000"/>
          <w:kern w:val="0"/>
          <w:szCs w:val="32"/>
          <w:lang w:bidi="ar"/>
        </w:rPr>
      </w:pPr>
      <w:r>
        <w:rPr>
          <w:color w:val="000000"/>
          <w:kern w:val="0"/>
          <w:szCs w:val="32"/>
          <w:lang w:bidi="ar"/>
        </w:rPr>
        <w:t>17.三年巩固率：指学校毕业班学生数占该年级入学时学生数的百分比。</w:t>
      </w:r>
    </w:p>
    <w:p>
      <w:pPr>
        <w:widowControl/>
        <w:spacing w:line="560" w:lineRule="exact"/>
        <w:ind w:firstLine="630"/>
        <w:jc w:val="left"/>
        <w:rPr>
          <w:color w:val="000000"/>
          <w:kern w:val="0"/>
          <w:szCs w:val="32"/>
          <w:lang w:bidi="ar"/>
        </w:rPr>
      </w:pPr>
      <w:r>
        <w:rPr>
          <w:color w:val="000000"/>
          <w:kern w:val="0"/>
          <w:szCs w:val="32"/>
          <w:lang w:bidi="ar"/>
        </w:rPr>
        <w:t>18.直接就业率：指学校当年已直接就业（含创业）的毕业生人数占毕业生总数的百分比。</w:t>
      </w:r>
    </w:p>
    <w:p>
      <w:pPr>
        <w:widowControl/>
        <w:spacing w:line="560" w:lineRule="exact"/>
        <w:ind w:firstLine="630"/>
        <w:jc w:val="left"/>
        <w:rPr>
          <w:color w:val="000000"/>
          <w:kern w:val="0"/>
          <w:szCs w:val="32"/>
          <w:lang w:bidi="ar"/>
        </w:rPr>
      </w:pPr>
      <w:r>
        <w:rPr>
          <w:color w:val="000000"/>
          <w:kern w:val="0"/>
          <w:szCs w:val="32"/>
          <w:lang w:bidi="ar"/>
        </w:rPr>
        <w:t>19.技能竞赛、社会化培训和职业技能鉴定规模、社会影响力：指各技工学校开展技能竞赛、社会化培训和职业技能鉴定状况。</w:t>
      </w:r>
    </w:p>
    <w:p>
      <w:pPr>
        <w:widowControl/>
        <w:spacing w:line="560" w:lineRule="exact"/>
        <w:ind w:firstLine="630"/>
        <w:jc w:val="left"/>
        <w:rPr>
          <w:color w:val="000000"/>
          <w:kern w:val="0"/>
          <w:szCs w:val="32"/>
          <w:lang w:bidi="ar"/>
        </w:rPr>
      </w:pPr>
      <w:r>
        <w:rPr>
          <w:color w:val="000000"/>
          <w:kern w:val="0"/>
          <w:szCs w:val="32"/>
          <w:lang w:bidi="ar"/>
        </w:rPr>
        <w:t>20.设置专业与区域产业匹配度：指学校学生数最多的几个专业与区域产业的对接程度。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339D2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sz w:val="21"/>
    </w:rPr>
  </w:style>
  <w:style w:type="paragraph" w:styleId="3">
    <w:name w:val="Normal (Web)"/>
    <w:basedOn w:val="1"/>
    <w:qFormat/>
    <w:uiPriority w:val="0"/>
    <w:pPr>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2023-04-20T02:33:53Z</dcterms:created>
  <dc:creator>Administrator</dc:creator>
  <cp:lastModifiedBy>梦</cp:lastModifiedBy>
  <dcterms:modified xsi:type="dcterms:W3CDTF">2023-04-20T02:33:56Z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A265619C56334EDF835E3804005B2869_12</vt:lpwstr>
  </property>
</Properties>
</file>