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4" w:lineRule="exact"/>
        <w:rPr>
          <w:rStyle w:val="4"/>
          <w:rFonts w:ascii="黑体" w:hAnsi="黑体" w:eastAsia="黑体"/>
          <w:sz w:val="32"/>
          <w:szCs w:val="32"/>
        </w:rPr>
      </w:pPr>
      <w:r>
        <w:rPr>
          <w:rStyle w:val="4"/>
          <w:rFonts w:hint="eastAsia" w:ascii="黑体" w:hAnsi="黑体" w:eastAsia="黑体"/>
          <w:sz w:val="32"/>
          <w:szCs w:val="32"/>
        </w:rPr>
        <w:t>附件</w:t>
      </w:r>
      <w:r>
        <w:rPr>
          <w:rStyle w:val="4"/>
          <w:rFonts w:ascii="黑体" w:hAnsi="黑体" w:eastAsia="黑体"/>
          <w:sz w:val="32"/>
          <w:szCs w:val="32"/>
        </w:rPr>
        <w:t>3</w:t>
      </w:r>
    </w:p>
    <w:p>
      <w:pPr>
        <w:spacing w:line="544" w:lineRule="exact"/>
        <w:jc w:val="center"/>
        <w:rPr>
          <w:rStyle w:val="4"/>
          <w:rFonts w:hint="eastAsia" w:eastAsia="方正小标宋简体"/>
          <w:bCs/>
          <w:sz w:val="44"/>
          <w:szCs w:val="44"/>
        </w:rPr>
      </w:pPr>
    </w:p>
    <w:p>
      <w:pPr>
        <w:spacing w:line="544" w:lineRule="exact"/>
        <w:jc w:val="center"/>
        <w:rPr>
          <w:rStyle w:val="4"/>
          <w:rFonts w:eastAsia="方正小标宋简体"/>
          <w:bCs/>
          <w:sz w:val="44"/>
          <w:szCs w:val="44"/>
        </w:rPr>
      </w:pPr>
      <w:r>
        <w:rPr>
          <w:rStyle w:val="4"/>
          <w:rFonts w:hint="eastAsia" w:eastAsia="方正小标宋简体"/>
          <w:bCs/>
          <w:sz w:val="44"/>
          <w:szCs w:val="44"/>
        </w:rPr>
        <w:t>泉州市农民工工资保证金存款协议书</w:t>
      </w:r>
    </w:p>
    <w:p>
      <w:pPr>
        <w:spacing w:line="544" w:lineRule="exact"/>
        <w:jc w:val="center"/>
        <w:rPr>
          <w:rStyle w:val="4"/>
          <w:rFonts w:eastAsia="方正小标宋简体"/>
          <w:bCs/>
          <w:sz w:val="44"/>
          <w:szCs w:val="44"/>
        </w:rPr>
      </w:pPr>
      <w:r>
        <w:rPr>
          <w:rStyle w:val="4"/>
          <w:rFonts w:hint="eastAsia" w:eastAsia="方正小标宋简体"/>
          <w:bCs/>
          <w:sz w:val="44"/>
          <w:szCs w:val="44"/>
        </w:rPr>
        <w:t>（样本）</w:t>
      </w:r>
    </w:p>
    <w:p>
      <w:pPr>
        <w:spacing w:line="544" w:lineRule="exact"/>
        <w:rPr>
          <w:rStyle w:val="4"/>
          <w:rFonts w:ascii="仿宋_GB2312" w:hAnsi="仿宋_GB2312" w:eastAsia="仿宋_GB2312"/>
          <w:sz w:val="32"/>
          <w:szCs w:val="32"/>
          <w:u w:val="single"/>
        </w:rPr>
      </w:pPr>
      <w:r>
        <w:rPr>
          <w:rStyle w:val="4"/>
          <w:rFonts w:hint="eastAsia" w:ascii="仿宋_GB2312" w:hAnsi="仿宋_GB2312" w:eastAsia="仿宋_GB2312"/>
          <w:sz w:val="32"/>
          <w:szCs w:val="32"/>
        </w:rPr>
        <w:t>存储企业：</w:t>
      </w:r>
      <w:r>
        <w:rPr>
          <w:rStyle w:val="4"/>
          <w:rFonts w:ascii="仿宋_GB2312" w:hAnsi="仿宋_GB2312" w:eastAsia="仿宋_GB2312"/>
          <w:sz w:val="32"/>
          <w:szCs w:val="32"/>
          <w:u w:val="single"/>
        </w:rPr>
        <w:t xml:space="preserve">                           </w:t>
      </w:r>
    </w:p>
    <w:p>
      <w:pPr>
        <w:spacing w:line="544" w:lineRule="exact"/>
        <w:rPr>
          <w:rStyle w:val="4"/>
          <w:rFonts w:ascii="仿宋_GB2312" w:hAnsi="仿宋_GB2312" w:eastAsia="仿宋_GB2312"/>
          <w:sz w:val="32"/>
          <w:szCs w:val="32"/>
        </w:rPr>
      </w:pPr>
      <w:r>
        <w:rPr>
          <w:rStyle w:val="4"/>
          <w:rFonts w:hint="eastAsia" w:ascii="仿宋_GB2312" w:hAnsi="仿宋_GB2312" w:eastAsia="仿宋_GB2312"/>
          <w:sz w:val="32"/>
          <w:szCs w:val="32"/>
        </w:rPr>
        <w:t>经办银行：</w:t>
      </w:r>
      <w:r>
        <w:rPr>
          <w:rStyle w:val="4"/>
          <w:rFonts w:ascii="仿宋_GB2312" w:hAnsi="仿宋_GB2312" w:eastAsia="仿宋_GB2312"/>
          <w:sz w:val="32"/>
          <w:szCs w:val="32"/>
          <w:u w:val="single"/>
        </w:rPr>
        <w:t xml:space="preserve">                           </w:t>
      </w:r>
      <w:r>
        <w:rPr>
          <w:rStyle w:val="4"/>
          <w:rFonts w:ascii="仿宋_GB2312" w:hAnsi="仿宋_GB2312" w:eastAsia="仿宋_GB2312"/>
          <w:sz w:val="32"/>
          <w:szCs w:val="32"/>
        </w:rPr>
        <w:t xml:space="preserve">   </w:t>
      </w:r>
    </w:p>
    <w:p>
      <w:pPr>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为做好农民工工资保证金监管，根据《保障农民工工资支付条例》《工程建设领域农民工工资保证金规定》《福建省工程建设领域农民工工资保证金管理实施办法》《泉州市工程建设领域农民工工资保证金管理实施意见》等规定，</w:t>
      </w:r>
      <w:r>
        <w:rPr>
          <w:rStyle w:val="4"/>
          <w:rFonts w:hint="eastAsia" w:ascii="仿宋_GB2312" w:hAnsi="仿宋_GB2312" w:eastAsia="仿宋_GB2312"/>
          <w:sz w:val="32"/>
          <w:szCs w:val="32"/>
          <w:u w:val="single"/>
        </w:rPr>
        <w:t>（农民工工资保证金存储施工企业全称）</w:t>
      </w:r>
      <w:r>
        <w:rPr>
          <w:rStyle w:val="4"/>
          <w:rFonts w:hint="eastAsia" w:ascii="仿宋_GB2312" w:hAnsi="仿宋_GB2312" w:eastAsia="仿宋_GB2312"/>
          <w:sz w:val="32"/>
          <w:szCs w:val="32"/>
        </w:rPr>
        <w:t>（以下简称存储企业）和</w:t>
      </w:r>
      <w:r>
        <w:rPr>
          <w:rStyle w:val="4"/>
          <w:rFonts w:hint="eastAsia" w:ascii="仿宋_GB2312" w:hAnsi="仿宋_GB2312" w:eastAsia="仿宋_GB2312"/>
          <w:sz w:val="32"/>
          <w:szCs w:val="32"/>
          <w:u w:val="single"/>
        </w:rPr>
        <w:t>（经办银行全称）</w:t>
      </w:r>
      <w:r>
        <w:rPr>
          <w:rStyle w:val="4"/>
          <w:rFonts w:hint="eastAsia" w:ascii="仿宋_GB2312" w:hAnsi="仿宋_GB2312" w:eastAsia="仿宋_GB2312"/>
          <w:sz w:val="32"/>
          <w:szCs w:val="32"/>
        </w:rPr>
        <w:t>（以下简称经办银行）就存储农民工工资保证金（以下简称工资保证金）及其管理等有关事项达成以下协议：</w:t>
      </w:r>
    </w:p>
    <w:p>
      <w:pPr>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一、存储企业（以下简称存储企业）依法存储保障为其承包工程提供劳动的农民工工资报酬权益的保证金，除发生《泉州市工程建设领域农民工工资保证金管理实施意见》（二十四）项的情形外，任何单位和个人不得使用工资保证金。</w:t>
      </w:r>
    </w:p>
    <w:p>
      <w:pPr>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二、存储企业应按照</w:t>
      </w:r>
      <w:r>
        <w:rPr>
          <w:rStyle w:val="4"/>
          <w:rFonts w:hint="eastAsia" w:ascii="仿宋_GB2312" w:hAnsi="仿宋_GB2312" w:eastAsia="仿宋_GB2312"/>
          <w:kern w:val="0"/>
          <w:sz w:val="32"/>
          <w:szCs w:val="32"/>
        </w:rPr>
        <w:t>《泉州市工程建设领域农民工工资保证金管理实施意见》</w:t>
      </w:r>
      <w:r>
        <w:rPr>
          <w:rStyle w:val="4"/>
          <w:rFonts w:hint="eastAsia" w:ascii="仿宋_GB2312" w:hAnsi="仿宋_GB2312" w:eastAsia="仿宋_GB2312"/>
          <w:sz w:val="32"/>
          <w:szCs w:val="32"/>
        </w:rPr>
        <w:t>确定的具体存储比例（附存储申报表、复印件加盖存储企业公章）足额存储工资保证金，经办银行应按存储申报表确定的存储金额予以办理。</w:t>
      </w:r>
    </w:p>
    <w:p>
      <w:pPr>
        <w:widowControl w:val="0"/>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三、经办银行对存储企业存储的工资保证金，按照（）年定期、到期自动转存管理。本金和全部利息收入归存储企业所有。</w:t>
      </w:r>
    </w:p>
    <w:p>
      <w:pPr>
        <w:widowControl w:val="0"/>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四、存储企业不得以存储工资保证金的有关凭证设定担保，经办银行应在出具的工资保证金有关凭证上注明“专用款项不得担保”字样。</w:t>
      </w:r>
    </w:p>
    <w:p>
      <w:pPr>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五、工资保证金使用按照如下方式执行：</w:t>
      </w:r>
    </w:p>
    <w:p>
      <w:pPr>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发生《泉州市工程建设领域农民工工资保证金管理实施意见》（二十四）项情形需要使用工资保证金，经办地人力资源社会保障行政部门书面通知存储企业和经办银行，出具《泉州市农民工工资保证金支付通知书》（以下简称《支付通知书》）。银行根据《支付通知书》，从工资保证金账户中将相应数额的款项以银行转账方式支付给人社部门指定的支付对象（农民工）或对应工程项目农民工工资专用账户。</w:t>
      </w:r>
    </w:p>
    <w:p>
      <w:pPr>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非以上规定的情形而出现工资保证金减少，经办银行应承担补足责任，但因有权机关依法查封、冻结、划拨的除外。</w:t>
      </w:r>
    </w:p>
    <w:p>
      <w:pPr>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对超出存储企业实际存储的工资保证金数额的，经办银行不承担任何支付义务。</w:t>
      </w:r>
    </w:p>
    <w:p>
      <w:pPr>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六、工资保证金使用后</w:t>
      </w:r>
      <w:r>
        <w:rPr>
          <w:rStyle w:val="4"/>
          <w:rFonts w:ascii="仿宋_GB2312" w:hAnsi="仿宋_GB2312" w:eastAsia="仿宋_GB2312"/>
          <w:sz w:val="32"/>
          <w:szCs w:val="32"/>
        </w:rPr>
        <w:t>3</w:t>
      </w:r>
      <w:r>
        <w:rPr>
          <w:rStyle w:val="4"/>
          <w:rFonts w:hint="eastAsia" w:ascii="仿宋_GB2312" w:hAnsi="仿宋_GB2312" w:eastAsia="仿宋_GB2312"/>
          <w:sz w:val="32"/>
          <w:szCs w:val="32"/>
        </w:rPr>
        <w:t>个工作日内，经办银行应将工资保证金使用的有关情况通知存储企业和经办地人社部门。</w:t>
      </w:r>
    </w:p>
    <w:p>
      <w:pPr>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七、经办银行应每季度出具工资保证金存款对账单一式两份，分别发送给存储企业和经办地人社部门。</w:t>
      </w:r>
    </w:p>
    <w:p>
      <w:pPr>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八、本协议一式叁份，存储企业和经办银行各存一份，报送经办地人社部门备案一份。</w:t>
      </w:r>
    </w:p>
    <w:p>
      <w:pPr>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附注一：工程项目基本信息（项目名称、项目所在地、施工合同期限、施工合同造价、存储比例等）</w:t>
      </w:r>
    </w:p>
    <w:p>
      <w:pPr>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附注二：存款金额</w:t>
      </w:r>
    </w:p>
    <w:p>
      <w:pPr>
        <w:spacing w:line="52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存款金额（人民币）：　佰　拾</w:t>
      </w:r>
      <w:r>
        <w:rPr>
          <w:rStyle w:val="4"/>
          <w:rFonts w:ascii="仿宋_GB2312" w:hAnsi="仿宋_GB2312" w:eastAsia="仿宋_GB2312"/>
          <w:sz w:val="32"/>
          <w:szCs w:val="32"/>
        </w:rPr>
        <w:t xml:space="preserve"> </w:t>
      </w:r>
      <w:r>
        <w:rPr>
          <w:rStyle w:val="4"/>
          <w:rFonts w:hint="eastAsia" w:ascii="仿宋_GB2312" w:hAnsi="仿宋_GB2312" w:eastAsia="仿宋_GB2312"/>
          <w:sz w:val="32"/>
          <w:szCs w:val="32"/>
        </w:rPr>
        <w:t>万元（小写：￥</w:t>
      </w:r>
      <w:r>
        <w:rPr>
          <w:rStyle w:val="4"/>
          <w:rFonts w:ascii="仿宋_GB2312" w:hAnsi="仿宋_GB2312" w:eastAsia="仿宋_GB2312"/>
          <w:sz w:val="32"/>
          <w:szCs w:val="32"/>
        </w:rPr>
        <w:t xml:space="preserve"> </w:t>
      </w:r>
      <w:r>
        <w:rPr>
          <w:rStyle w:val="4"/>
          <w:rFonts w:hint="eastAsia" w:ascii="仿宋_GB2312" w:hAnsi="仿宋_GB2312" w:eastAsia="仿宋_GB2312"/>
          <w:sz w:val="32"/>
          <w:szCs w:val="32"/>
        </w:rPr>
        <w:t>万元）</w:t>
      </w:r>
    </w:p>
    <w:p>
      <w:pPr>
        <w:spacing w:line="50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附注三：经办地人社部门、存储企业和经办银行基本信息</w:t>
      </w:r>
    </w:p>
    <w:p>
      <w:pPr>
        <w:spacing w:line="500" w:lineRule="exact"/>
        <w:ind w:firstLine="640" w:firstLineChars="200"/>
        <w:rPr>
          <w:rStyle w:val="4"/>
          <w:rFonts w:ascii="仿宋_GB2312" w:hAnsi="仿宋_GB2312" w:eastAsia="仿宋_GB2312"/>
          <w:color w:val="FF0000"/>
          <w:sz w:val="32"/>
          <w:szCs w:val="32"/>
        </w:rPr>
      </w:pPr>
    </w:p>
    <w:p>
      <w:pPr>
        <w:spacing w:line="500" w:lineRule="exact"/>
        <w:ind w:firstLine="640" w:firstLineChars="200"/>
        <w:rPr>
          <w:rStyle w:val="4"/>
          <w:rFonts w:ascii="仿宋_GB2312" w:hAnsi="仿宋_GB2312" w:eastAsia="仿宋_GB2312"/>
          <w:sz w:val="32"/>
          <w:szCs w:val="32"/>
        </w:rPr>
      </w:pPr>
    </w:p>
    <w:p>
      <w:pPr>
        <w:spacing w:line="50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经办地人社部门：</w:t>
      </w:r>
    </w:p>
    <w:p>
      <w:pPr>
        <w:spacing w:line="50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通信地址：</w:t>
      </w:r>
      <w:r>
        <w:rPr>
          <w:rStyle w:val="4"/>
          <w:rFonts w:ascii="仿宋_GB2312" w:hAnsi="仿宋_GB2312" w:eastAsia="仿宋_GB2312"/>
          <w:sz w:val="32"/>
          <w:szCs w:val="32"/>
        </w:rPr>
        <w:t xml:space="preserve">                            </w:t>
      </w:r>
      <w:r>
        <w:rPr>
          <w:rStyle w:val="4"/>
          <w:rFonts w:hint="eastAsia" w:ascii="仿宋_GB2312" w:hAnsi="仿宋_GB2312" w:eastAsia="仿宋_GB2312"/>
          <w:sz w:val="32"/>
          <w:szCs w:val="32"/>
        </w:rPr>
        <w:t>邮编：</w:t>
      </w:r>
    </w:p>
    <w:p>
      <w:pPr>
        <w:spacing w:line="50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联系人：</w:t>
      </w:r>
      <w:r>
        <w:rPr>
          <w:rStyle w:val="4"/>
          <w:rFonts w:ascii="仿宋_GB2312" w:hAnsi="仿宋_GB2312" w:eastAsia="仿宋_GB2312"/>
          <w:sz w:val="32"/>
          <w:szCs w:val="32"/>
        </w:rPr>
        <w:t xml:space="preserve">          </w:t>
      </w:r>
      <w:r>
        <w:rPr>
          <w:rStyle w:val="4"/>
          <w:rFonts w:hint="eastAsia" w:ascii="仿宋_GB2312" w:hAnsi="仿宋_GB2312" w:eastAsia="仿宋_GB2312"/>
          <w:sz w:val="32"/>
          <w:szCs w:val="32"/>
        </w:rPr>
        <w:t>联系电话：</w:t>
      </w:r>
      <w:r>
        <w:rPr>
          <w:rStyle w:val="4"/>
          <w:rFonts w:ascii="仿宋_GB2312" w:hAnsi="仿宋_GB2312" w:eastAsia="仿宋_GB2312"/>
          <w:sz w:val="32"/>
          <w:szCs w:val="32"/>
        </w:rPr>
        <w:t xml:space="preserve">          </w:t>
      </w:r>
      <w:r>
        <w:rPr>
          <w:rStyle w:val="4"/>
          <w:rFonts w:hint="eastAsia" w:ascii="仿宋_GB2312" w:hAnsi="仿宋_GB2312" w:eastAsia="仿宋_GB2312"/>
          <w:sz w:val="32"/>
          <w:szCs w:val="32"/>
        </w:rPr>
        <w:t>传真：</w:t>
      </w:r>
    </w:p>
    <w:p>
      <w:pPr>
        <w:spacing w:line="500" w:lineRule="exact"/>
        <w:ind w:firstLine="640" w:firstLineChars="200"/>
        <w:rPr>
          <w:rStyle w:val="4"/>
          <w:rFonts w:ascii="仿宋_GB2312" w:hAnsi="仿宋_GB2312" w:eastAsia="仿宋_GB2312"/>
          <w:sz w:val="32"/>
          <w:szCs w:val="32"/>
        </w:rPr>
      </w:pPr>
    </w:p>
    <w:p>
      <w:pPr>
        <w:spacing w:line="50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存储企业：</w:t>
      </w:r>
    </w:p>
    <w:p>
      <w:pPr>
        <w:spacing w:line="50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统一社会信用代码：</w:t>
      </w:r>
    </w:p>
    <w:p>
      <w:pPr>
        <w:spacing w:line="50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通信地址：</w:t>
      </w:r>
      <w:r>
        <w:rPr>
          <w:rStyle w:val="4"/>
          <w:rFonts w:ascii="仿宋_GB2312" w:hAnsi="仿宋_GB2312" w:eastAsia="仿宋_GB2312"/>
          <w:sz w:val="32"/>
          <w:szCs w:val="32"/>
        </w:rPr>
        <w:t xml:space="preserve">                            </w:t>
      </w:r>
      <w:r>
        <w:rPr>
          <w:rStyle w:val="4"/>
          <w:rFonts w:hint="eastAsia" w:ascii="仿宋_GB2312" w:hAnsi="仿宋_GB2312" w:eastAsia="仿宋_GB2312"/>
          <w:sz w:val="32"/>
          <w:szCs w:val="32"/>
        </w:rPr>
        <w:t>邮编：</w:t>
      </w:r>
    </w:p>
    <w:p>
      <w:pPr>
        <w:spacing w:line="50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联系人：</w:t>
      </w:r>
      <w:r>
        <w:rPr>
          <w:rStyle w:val="4"/>
          <w:rFonts w:ascii="仿宋_GB2312" w:hAnsi="仿宋_GB2312" w:eastAsia="仿宋_GB2312"/>
          <w:sz w:val="32"/>
          <w:szCs w:val="32"/>
        </w:rPr>
        <w:t xml:space="preserve">              </w:t>
      </w:r>
      <w:r>
        <w:rPr>
          <w:rStyle w:val="4"/>
          <w:rFonts w:hint="eastAsia" w:ascii="仿宋_GB2312" w:hAnsi="仿宋_GB2312" w:eastAsia="仿宋_GB2312"/>
          <w:sz w:val="32"/>
          <w:szCs w:val="32"/>
        </w:rPr>
        <w:t>电话：</w:t>
      </w:r>
      <w:r>
        <w:rPr>
          <w:rStyle w:val="4"/>
          <w:rFonts w:ascii="仿宋_GB2312" w:hAnsi="仿宋_GB2312" w:eastAsia="仿宋_GB2312"/>
          <w:sz w:val="32"/>
          <w:szCs w:val="32"/>
        </w:rPr>
        <w:t xml:space="preserve">          </w:t>
      </w:r>
      <w:r>
        <w:rPr>
          <w:rStyle w:val="4"/>
          <w:rFonts w:hint="eastAsia" w:ascii="仿宋_GB2312" w:hAnsi="仿宋_GB2312" w:eastAsia="仿宋_GB2312"/>
          <w:sz w:val="32"/>
          <w:szCs w:val="32"/>
        </w:rPr>
        <w:t>传真：</w:t>
      </w:r>
    </w:p>
    <w:p>
      <w:pPr>
        <w:spacing w:line="500" w:lineRule="exact"/>
        <w:ind w:firstLine="640" w:firstLineChars="200"/>
        <w:rPr>
          <w:rStyle w:val="4"/>
          <w:rFonts w:ascii="仿宋_GB2312" w:hAnsi="仿宋_GB2312" w:eastAsia="仿宋_GB2312"/>
          <w:sz w:val="32"/>
          <w:szCs w:val="32"/>
        </w:rPr>
      </w:pPr>
    </w:p>
    <w:p>
      <w:pPr>
        <w:spacing w:line="50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经办银行</w:t>
      </w:r>
    </w:p>
    <w:p>
      <w:pPr>
        <w:spacing w:line="50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通信地址：</w:t>
      </w:r>
      <w:r>
        <w:rPr>
          <w:rStyle w:val="4"/>
          <w:rFonts w:ascii="仿宋_GB2312" w:hAnsi="仿宋_GB2312" w:eastAsia="仿宋_GB2312"/>
          <w:sz w:val="32"/>
          <w:szCs w:val="32"/>
        </w:rPr>
        <w:t xml:space="preserve">                             </w:t>
      </w:r>
      <w:r>
        <w:rPr>
          <w:rStyle w:val="4"/>
          <w:rFonts w:hint="eastAsia" w:ascii="仿宋_GB2312" w:hAnsi="仿宋_GB2312" w:eastAsia="仿宋_GB2312"/>
          <w:sz w:val="32"/>
          <w:szCs w:val="32"/>
        </w:rPr>
        <w:t>邮编：</w:t>
      </w:r>
    </w:p>
    <w:p>
      <w:pPr>
        <w:spacing w:line="500" w:lineRule="exact"/>
        <w:ind w:firstLine="640" w:firstLineChars="200"/>
        <w:rPr>
          <w:rStyle w:val="4"/>
          <w:rFonts w:ascii="仿宋_GB2312" w:hAnsi="仿宋_GB2312" w:eastAsia="仿宋_GB2312"/>
          <w:sz w:val="32"/>
          <w:szCs w:val="32"/>
        </w:rPr>
      </w:pPr>
      <w:r>
        <w:rPr>
          <w:rStyle w:val="4"/>
          <w:rFonts w:hint="eastAsia" w:ascii="仿宋_GB2312" w:hAnsi="仿宋_GB2312" w:eastAsia="仿宋_GB2312"/>
          <w:sz w:val="32"/>
          <w:szCs w:val="32"/>
        </w:rPr>
        <w:t>联系人：</w:t>
      </w:r>
      <w:r>
        <w:rPr>
          <w:rStyle w:val="4"/>
          <w:rFonts w:ascii="仿宋_GB2312" w:hAnsi="仿宋_GB2312" w:eastAsia="仿宋_GB2312"/>
          <w:sz w:val="32"/>
          <w:szCs w:val="32"/>
        </w:rPr>
        <w:t xml:space="preserve">               </w:t>
      </w:r>
      <w:r>
        <w:rPr>
          <w:rStyle w:val="4"/>
          <w:rFonts w:hint="eastAsia" w:ascii="仿宋_GB2312" w:hAnsi="仿宋_GB2312" w:eastAsia="仿宋_GB2312"/>
          <w:sz w:val="32"/>
          <w:szCs w:val="32"/>
        </w:rPr>
        <w:t>电话：</w:t>
      </w:r>
      <w:r>
        <w:rPr>
          <w:rStyle w:val="4"/>
          <w:rFonts w:ascii="仿宋_GB2312" w:hAnsi="仿宋_GB2312" w:eastAsia="仿宋_GB2312"/>
          <w:sz w:val="32"/>
          <w:szCs w:val="32"/>
        </w:rPr>
        <w:t xml:space="preserve">          </w:t>
      </w:r>
      <w:r>
        <w:rPr>
          <w:rStyle w:val="4"/>
          <w:rFonts w:hint="eastAsia" w:ascii="仿宋_GB2312" w:hAnsi="仿宋_GB2312" w:eastAsia="仿宋_GB2312"/>
          <w:sz w:val="32"/>
          <w:szCs w:val="32"/>
        </w:rPr>
        <w:t>传真：</w:t>
      </w:r>
    </w:p>
    <w:p>
      <w:pPr>
        <w:spacing w:line="500" w:lineRule="exact"/>
        <w:ind w:firstLine="640" w:firstLineChars="200"/>
        <w:rPr>
          <w:rStyle w:val="4"/>
          <w:rFonts w:ascii="仿宋_GB2312" w:hAnsi="仿宋_GB2312" w:eastAsia="仿宋_GB2312"/>
          <w:sz w:val="32"/>
          <w:szCs w:val="32"/>
        </w:rPr>
      </w:pPr>
    </w:p>
    <w:p>
      <w:pPr>
        <w:tabs>
          <w:tab w:val="left" w:pos="5970"/>
        </w:tabs>
        <w:spacing w:line="500" w:lineRule="exact"/>
        <w:ind w:firstLine="800" w:firstLineChars="250"/>
        <w:rPr>
          <w:rStyle w:val="4"/>
          <w:rFonts w:eastAsia="仿宋_GB2312"/>
          <w:kern w:val="0"/>
          <w:sz w:val="32"/>
          <w:szCs w:val="32"/>
        </w:rPr>
      </w:pPr>
      <w:r>
        <w:rPr>
          <w:rStyle w:val="4"/>
          <w:rFonts w:hint="eastAsia" w:eastAsia="仿宋_GB2312"/>
          <w:kern w:val="0"/>
          <w:sz w:val="32"/>
          <w:szCs w:val="32"/>
        </w:rPr>
        <w:t>存储企业（全称）</w:t>
      </w:r>
      <w:r>
        <w:rPr>
          <w:rStyle w:val="4"/>
          <w:rFonts w:eastAsia="仿宋_GB2312"/>
          <w:kern w:val="0"/>
          <w:sz w:val="32"/>
          <w:szCs w:val="32"/>
        </w:rPr>
        <w:t xml:space="preserve">            </w:t>
      </w:r>
      <w:r>
        <w:rPr>
          <w:rStyle w:val="4"/>
          <w:rFonts w:hint="eastAsia" w:eastAsia="仿宋_GB2312"/>
          <w:kern w:val="0"/>
          <w:sz w:val="32"/>
          <w:szCs w:val="32"/>
        </w:rPr>
        <w:t>经办银行（全称）</w:t>
      </w:r>
    </w:p>
    <w:p>
      <w:pPr>
        <w:tabs>
          <w:tab w:val="left" w:pos="5970"/>
        </w:tabs>
        <w:spacing w:line="500" w:lineRule="exact"/>
        <w:ind w:firstLine="1120" w:firstLineChars="350"/>
        <w:rPr>
          <w:rStyle w:val="4"/>
          <w:rFonts w:eastAsia="仿宋_GB2312"/>
          <w:kern w:val="0"/>
          <w:sz w:val="32"/>
          <w:szCs w:val="32"/>
        </w:rPr>
      </w:pPr>
      <w:r>
        <w:rPr>
          <w:rStyle w:val="4"/>
          <w:rFonts w:hint="eastAsia" w:eastAsia="仿宋_GB2312"/>
          <w:kern w:val="0"/>
          <w:sz w:val="32"/>
          <w:szCs w:val="32"/>
        </w:rPr>
        <w:t>（盖章）</w:t>
      </w:r>
      <w:r>
        <w:rPr>
          <w:rStyle w:val="4"/>
          <w:rFonts w:eastAsia="仿宋_GB2312"/>
          <w:kern w:val="0"/>
          <w:sz w:val="32"/>
          <w:szCs w:val="32"/>
        </w:rPr>
        <w:t xml:space="preserve">                     </w:t>
      </w:r>
      <w:r>
        <w:rPr>
          <w:rStyle w:val="4"/>
          <w:rFonts w:hint="eastAsia" w:eastAsia="仿宋_GB2312"/>
          <w:kern w:val="0"/>
          <w:sz w:val="32"/>
          <w:szCs w:val="32"/>
        </w:rPr>
        <w:t>（盖章）</w:t>
      </w:r>
    </w:p>
    <w:p>
      <w:pPr>
        <w:tabs>
          <w:tab w:val="left" w:pos="5970"/>
        </w:tabs>
        <w:spacing w:line="500" w:lineRule="exact"/>
        <w:ind w:firstLine="640" w:firstLineChars="200"/>
        <w:rPr>
          <w:rStyle w:val="4"/>
          <w:rFonts w:eastAsia="仿宋_GB2312"/>
          <w:kern w:val="0"/>
          <w:sz w:val="32"/>
          <w:szCs w:val="32"/>
        </w:rPr>
      </w:pPr>
    </w:p>
    <w:p>
      <w:pPr>
        <w:tabs>
          <w:tab w:val="left" w:pos="5970"/>
        </w:tabs>
        <w:spacing w:line="500" w:lineRule="exact"/>
        <w:ind w:firstLine="320" w:firstLineChars="100"/>
        <w:rPr>
          <w:rStyle w:val="4"/>
          <w:rFonts w:eastAsia="仿宋_GB2312"/>
          <w:kern w:val="0"/>
          <w:sz w:val="32"/>
          <w:szCs w:val="32"/>
        </w:rPr>
      </w:pPr>
      <w:r>
        <w:rPr>
          <w:rStyle w:val="4"/>
          <w:rFonts w:hint="eastAsia" w:eastAsia="仿宋_GB2312"/>
          <w:kern w:val="0"/>
          <w:sz w:val="32"/>
          <w:szCs w:val="32"/>
        </w:rPr>
        <w:t>法定代表人或授权代表人</w:t>
      </w:r>
      <w:r>
        <w:rPr>
          <w:rStyle w:val="4"/>
          <w:rFonts w:eastAsia="仿宋_GB2312"/>
          <w:kern w:val="0"/>
          <w:sz w:val="32"/>
          <w:szCs w:val="32"/>
        </w:rPr>
        <w:t xml:space="preserve">      </w:t>
      </w:r>
      <w:r>
        <w:rPr>
          <w:rStyle w:val="4"/>
          <w:rFonts w:hint="eastAsia" w:eastAsia="仿宋_GB2312"/>
          <w:kern w:val="0"/>
          <w:sz w:val="32"/>
          <w:szCs w:val="32"/>
        </w:rPr>
        <w:t>法定代表人或授权代表人</w:t>
      </w:r>
    </w:p>
    <w:p>
      <w:pPr>
        <w:tabs>
          <w:tab w:val="left" w:pos="5970"/>
        </w:tabs>
        <w:spacing w:line="500" w:lineRule="exact"/>
        <w:rPr>
          <w:rStyle w:val="4"/>
          <w:rFonts w:eastAsia="仿宋_GB2312"/>
          <w:kern w:val="0"/>
          <w:sz w:val="32"/>
          <w:szCs w:val="32"/>
        </w:rPr>
      </w:pPr>
      <w:r>
        <w:rPr>
          <w:rStyle w:val="4"/>
          <w:rFonts w:eastAsia="仿宋_GB2312"/>
          <w:kern w:val="0"/>
          <w:sz w:val="32"/>
          <w:szCs w:val="32"/>
        </w:rPr>
        <w:t xml:space="preserve">        </w:t>
      </w:r>
      <w:r>
        <w:rPr>
          <w:rStyle w:val="4"/>
          <w:rFonts w:hint="eastAsia" w:eastAsia="仿宋_GB2312"/>
          <w:kern w:val="0"/>
          <w:sz w:val="32"/>
          <w:szCs w:val="32"/>
        </w:rPr>
        <w:t>（签字）</w:t>
      </w:r>
      <w:r>
        <w:rPr>
          <w:rStyle w:val="4"/>
          <w:rFonts w:eastAsia="仿宋_GB2312"/>
          <w:kern w:val="0"/>
          <w:sz w:val="32"/>
          <w:szCs w:val="32"/>
        </w:rPr>
        <w:t xml:space="preserve">                  </w:t>
      </w:r>
      <w:r>
        <w:rPr>
          <w:rStyle w:val="4"/>
          <w:rFonts w:hint="eastAsia" w:eastAsia="仿宋_GB2312"/>
          <w:kern w:val="0"/>
          <w:sz w:val="32"/>
          <w:szCs w:val="32"/>
        </w:rPr>
        <w:t>（签字）</w:t>
      </w:r>
    </w:p>
    <w:p>
      <w:pPr>
        <w:tabs>
          <w:tab w:val="left" w:pos="5970"/>
        </w:tabs>
        <w:spacing w:line="500" w:lineRule="exact"/>
        <w:ind w:firstLine="640" w:firstLineChars="200"/>
        <w:rPr>
          <w:rStyle w:val="4"/>
          <w:rFonts w:eastAsia="仿宋_GB2312"/>
          <w:kern w:val="0"/>
          <w:sz w:val="32"/>
          <w:szCs w:val="32"/>
        </w:rPr>
      </w:pPr>
      <w:r>
        <w:rPr>
          <w:rStyle w:val="4"/>
          <w:rFonts w:hint="eastAsia" w:eastAsia="仿宋_GB2312"/>
          <w:kern w:val="0"/>
          <w:sz w:val="32"/>
          <w:szCs w:val="32"/>
        </w:rPr>
        <w:t>签字时间：</w:t>
      </w:r>
      <w:r>
        <w:rPr>
          <w:rStyle w:val="4"/>
          <w:rFonts w:eastAsia="仿宋_GB2312"/>
          <w:kern w:val="0"/>
          <w:sz w:val="32"/>
          <w:szCs w:val="32"/>
        </w:rPr>
        <w:t xml:space="preserve">                   </w:t>
      </w:r>
      <w:r>
        <w:rPr>
          <w:rStyle w:val="4"/>
          <w:rFonts w:hint="eastAsia" w:eastAsia="仿宋_GB2312"/>
          <w:kern w:val="0"/>
          <w:sz w:val="32"/>
          <w:szCs w:val="32"/>
        </w:rPr>
        <w:t>签字时间：</w:t>
      </w:r>
    </w:p>
    <w:p>
      <w:pPr>
        <w:rPr>
          <w:rStyle w:val="4"/>
          <w:rFonts w:eastAsia="华文中宋"/>
          <w:szCs w:val="21"/>
        </w:rPr>
      </w:pPr>
    </w:p>
    <w:p>
      <w:pPr>
        <w:rPr>
          <w:rStyle w:val="4"/>
          <w:rFonts w:eastAsia="华文中宋"/>
          <w:szCs w:val="21"/>
        </w:rPr>
      </w:pPr>
    </w:p>
    <w:p>
      <w:pPr>
        <w:rPr>
          <w:rStyle w:val="4"/>
          <w:rFonts w:ascii="楷体_GB2312" w:eastAsia="楷体_GB2312"/>
          <w:sz w:val="24"/>
        </w:rPr>
      </w:pPr>
      <w:r>
        <w:rPr>
          <w:rStyle w:val="4"/>
          <w:rFonts w:hint="eastAsia" w:ascii="楷体_GB2312" w:eastAsia="楷体_GB2312"/>
          <w:sz w:val="24"/>
        </w:rPr>
        <w:t>注：样本仅供参考，各地可根据本《实施意见》并结合业务管理要求修订使用。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YjgxMmVmZTVhNmI4YWEyMzYwYjk3ZTM5YmEwZGQifQ=="/>
  </w:docVars>
  <w:rsids>
    <w:rsidRoot w:val="00000000"/>
    <w:rsid w:val="05C1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2022-06-21T03:34:18Z</dcterms:created>
  <dc:creator>Administrator.MS-RVLWVUCUALQO</dc:creator>
  <cp:lastModifiedBy>Administrator</cp:lastModifiedBy>
  <dcterms:modified xsi:type="dcterms:W3CDTF">2022-06-21T03:34:49Z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3304D08C1BF04C78B5DB868B3C8D24BF</vt:lpwstr>
  </property>
</Properties>
</file>