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3</w:t>
      </w:r>
    </w:p>
    <w:p>
      <w:pPr>
        <w:spacing w:line="600" w:lineRule="exact"/>
        <w:jc w:val="center"/>
        <w:rPr>
          <w:rFonts w:ascii="方正小标宋简体" w:hAnsi="方正小标宋简体" w:eastAsia="方正小标宋简体" w:cs="方正小标宋简体"/>
          <w:color w:val="000000"/>
          <w:sz w:val="44"/>
          <w:szCs w:val="44"/>
        </w:rPr>
      </w:pPr>
    </w:p>
    <w:p>
      <w:pPr>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危险化学品企业班组长（含车间主任）</w:t>
      </w:r>
    </w:p>
    <w:p>
      <w:pPr>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工伤预防能力提升通用培训大纲</w:t>
      </w:r>
    </w:p>
    <w:p>
      <w:pPr>
        <w:spacing w:line="600" w:lineRule="exact"/>
        <w:ind w:firstLine="420" w:firstLineChars="200"/>
        <w:rPr>
          <w:rFonts w:ascii="仿宋_GB2312" w:cs="仿宋_GB2312"/>
          <w:color w:val="000000"/>
          <w:szCs w:val="32"/>
        </w:rPr>
      </w:pPr>
    </w:p>
    <w:p>
      <w:pPr>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1 培训要求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1.1 按照《关于实施危险化学品企业工伤预防能力提升培训工程的通知》要求，对危险化学品重点企业班组长（含车间主任）进行全覆盖培训，2024年底前轮训一遍。根据工伤预防费情况，各地可适当扩大轮训范围。</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1.2 班组长培训24-72学时，培训方式采取线上培训与线下培训相结合，其中线下培训不得少于总学时的60%，着重提升现场安全管理、风险排查管控、异常和故障处理以及现场应急处置能力。实训类课程不少于总课程的1/4。</w:t>
      </w:r>
    </w:p>
    <w:p>
      <w:pPr>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2 培训内容</w:t>
      </w:r>
    </w:p>
    <w:p>
      <w:pPr>
        <w:spacing w:line="600" w:lineRule="exact"/>
        <w:ind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2.1 安全生产法律法规基本知识</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2.1.1 法律法规标准体系要求及从业人员权利和义务；《刑法》有关安全生产的规定。</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2.1.2 全员安全生产责任制的含义及执行。</w:t>
      </w:r>
    </w:p>
    <w:p>
      <w:pPr>
        <w:spacing w:line="600" w:lineRule="exact"/>
        <w:ind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2.2 班组长与安全生产</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2.2.1 班组长在安全生产中的作用、素养要求。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2.2.2 班组建设及交接班管理。</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2.2.3 员工技能提升要求。</w:t>
      </w:r>
    </w:p>
    <w:p>
      <w:pPr>
        <w:spacing w:line="600" w:lineRule="exact"/>
        <w:ind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2.3 危险化学品安全基础知识</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2.3.1 危险化学品基础知识。</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2.3.2 化工安全基础知识。</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2.3.3 化工工艺技术及设备、电气、仪表基础知识。</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2.3.4 危险化学品储存安全知识。</w:t>
      </w:r>
    </w:p>
    <w:p>
      <w:pPr>
        <w:spacing w:line="600" w:lineRule="exact"/>
        <w:ind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2.4 危险化学品安全生产管理与技术</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2.4.1 风险管理基本知识。危险、危险源、风险、隐患、事故致因理论的基本知识。</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2.4.2 危险有害因素辨识知识。JSA、LEC、SCL等风险辨识方法的应用。</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2.4.3 风险管控与隐患排查基本知识，隐患排查要求及方法。</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2.4.4 重大危险源管理要求。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2.4.5 特种设备、安全附件、电气、仪表的使用及维护。</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2.4.6 变更管理要求。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2.4.7 特殊作业的现场管理要求；能量隔离的方法。</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2.4.8 现场安全管理；违章行为控制。</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2.4.9 工艺报警的管理要求。</w:t>
      </w:r>
    </w:p>
    <w:p>
      <w:pPr>
        <w:spacing w:line="600" w:lineRule="exact"/>
        <w:ind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2.5 职业危害因素及防护知识</w:t>
      </w:r>
    </w:p>
    <w:p>
      <w:pPr>
        <w:spacing w:line="600" w:lineRule="exact"/>
        <w:ind w:firstLine="640" w:firstLineChars="200"/>
        <w:rPr>
          <w:rFonts w:hint="eastAsia" w:ascii="楷体_GB2312" w:eastAsia="楷体_GB2312" w:cs="仿宋_GB2312"/>
          <w:color w:val="000000"/>
          <w:sz w:val="32"/>
          <w:szCs w:val="32"/>
        </w:rPr>
      </w:pPr>
      <w:r>
        <w:rPr>
          <w:rFonts w:hint="eastAsia" w:ascii="楷体_GB2312" w:hAnsi="楷体_GB2312" w:eastAsia="楷体_GB2312" w:cs="楷体_GB2312"/>
          <w:bCs/>
          <w:color w:val="000000"/>
          <w:sz w:val="32"/>
          <w:szCs w:val="32"/>
        </w:rPr>
        <w:t>2.6 事故与应急处置</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2.6.1 事故现场的应急处置；事故事件的报告要求。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2.6.2 应急救援要求；事故现场自救与互救技能。</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2.6.3 消、气防设备设施的选用、维护管理要求。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2.6.4 个体防护用品的选用、维护管理要求。</w:t>
      </w:r>
    </w:p>
    <w:p>
      <w:pPr>
        <w:spacing w:line="600" w:lineRule="exact"/>
        <w:ind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2.7 典型事故案例</w:t>
      </w:r>
    </w:p>
    <w:p>
      <w:pPr>
        <w:spacing w:line="600" w:lineRule="exact"/>
        <w:ind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2.8 工伤保险和工伤预防政策</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2.8.1 《工伤保险条例》。</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2.8.2 《工伤认定办法》。</w:t>
      </w:r>
    </w:p>
    <w:p>
      <w:pPr>
        <w:spacing w:line="600" w:lineRule="exact"/>
        <w:ind w:firstLine="640" w:firstLineChars="20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3 学时安排</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根据企业特点、培训人员、培训内容、工伤预防费等情况，科学确定危险化学品企业专职安全管理人员培训时长和线上线下分布，可参考下表设置内容模块和具体课程。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5460"/>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cs="仿宋_GB2312"/>
                <w:b/>
                <w:bCs/>
                <w:color w:val="000000"/>
                <w:sz w:val="28"/>
                <w:szCs w:val="28"/>
              </w:rPr>
            </w:pPr>
            <w:r>
              <w:rPr>
                <w:rFonts w:hint="eastAsia" w:ascii="仿宋_GB2312" w:hAnsi="仿宋_GB2312" w:cs="仿宋_GB2312"/>
                <w:b/>
                <w:bCs/>
                <w:color w:val="000000"/>
                <w:sz w:val="28"/>
                <w:szCs w:val="28"/>
              </w:rPr>
              <w:t>序号</w:t>
            </w:r>
          </w:p>
        </w:tc>
        <w:tc>
          <w:tcPr>
            <w:tcW w:w="546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cs="仿宋_GB2312"/>
                <w:b/>
                <w:bCs/>
                <w:color w:val="000000"/>
                <w:sz w:val="28"/>
                <w:szCs w:val="28"/>
              </w:rPr>
            </w:pPr>
            <w:r>
              <w:rPr>
                <w:rFonts w:hint="eastAsia" w:ascii="仿宋_GB2312" w:hAnsi="仿宋_GB2312" w:cs="仿宋_GB2312"/>
                <w:b/>
                <w:bCs/>
                <w:color w:val="000000"/>
                <w:sz w:val="28"/>
                <w:szCs w:val="28"/>
              </w:rPr>
              <w:t>培训内容</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cs="仿宋_GB2312"/>
                <w:b/>
                <w:bCs/>
                <w:color w:val="000000"/>
                <w:sz w:val="28"/>
                <w:szCs w:val="28"/>
              </w:rPr>
            </w:pPr>
            <w:r>
              <w:rPr>
                <w:rFonts w:hint="eastAsia" w:ascii="仿宋_GB2312" w:hAnsi="仿宋_GB2312" w:cs="仿宋_GB2312"/>
                <w:b/>
                <w:bCs/>
                <w:color w:val="000000"/>
                <w:sz w:val="28"/>
                <w:szCs w:val="28"/>
              </w:rPr>
              <w:t>学时（小时）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cs="仿宋_GB2312"/>
                <w:color w:val="000000"/>
                <w:sz w:val="28"/>
                <w:szCs w:val="28"/>
              </w:rPr>
            </w:pPr>
            <w:r>
              <w:rPr>
                <w:rFonts w:ascii="仿宋_GB2312" w:hAnsi="仿宋_GB2312" w:cs="仿宋_GB2312"/>
                <w:color w:val="000000"/>
                <w:sz w:val="28"/>
                <w:szCs w:val="28"/>
              </w:rPr>
              <w:t>1</w:t>
            </w:r>
          </w:p>
        </w:tc>
        <w:tc>
          <w:tcPr>
            <w:tcW w:w="5460" w:type="dxa"/>
            <w:tcBorders>
              <w:top w:val="single" w:color="auto" w:sz="4" w:space="0"/>
              <w:left w:val="single" w:color="auto" w:sz="4" w:space="0"/>
              <w:bottom w:val="single" w:color="auto" w:sz="4" w:space="0"/>
              <w:right w:val="single" w:color="auto" w:sz="4" w:space="0"/>
            </w:tcBorders>
            <w:noWrap w:val="0"/>
            <w:vAlign w:val="top"/>
          </w:tcPr>
          <w:p>
            <w:pPr>
              <w:pStyle w:val="6"/>
              <w:spacing w:before="31"/>
              <w:jc w:val="left"/>
              <w:rPr>
                <w:color w:val="000000"/>
                <w:sz w:val="28"/>
                <w:szCs w:val="28"/>
              </w:rPr>
            </w:pPr>
            <w:r>
              <w:rPr>
                <w:rFonts w:hint="eastAsia"/>
                <w:sz w:val="28"/>
              </w:rPr>
              <w:t>安全生产法律法规基本知识</w:t>
            </w:r>
          </w:p>
        </w:tc>
        <w:tc>
          <w:tcPr>
            <w:tcW w:w="2111" w:type="dxa"/>
            <w:tcBorders>
              <w:top w:val="single" w:color="auto" w:sz="4" w:space="0"/>
              <w:left w:val="single" w:color="auto" w:sz="4" w:space="0"/>
              <w:bottom w:val="single" w:color="auto" w:sz="4" w:space="0"/>
              <w:right w:val="single" w:color="auto" w:sz="4" w:space="0"/>
            </w:tcBorders>
            <w:noWrap w:val="0"/>
            <w:vAlign w:val="top"/>
          </w:tcPr>
          <w:p>
            <w:pPr>
              <w:pStyle w:val="6"/>
              <w:spacing w:before="45"/>
              <w:ind w:left="7"/>
              <w:rPr>
                <w:color w:val="000000"/>
                <w:sz w:val="28"/>
                <w:szCs w:val="28"/>
              </w:rPr>
            </w:pPr>
            <w:r>
              <w:rPr>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cs="仿宋_GB2312"/>
                <w:color w:val="000000"/>
                <w:sz w:val="28"/>
                <w:szCs w:val="28"/>
              </w:rPr>
            </w:pPr>
            <w:r>
              <w:rPr>
                <w:rFonts w:ascii="仿宋_GB2312" w:hAnsi="仿宋_GB2312" w:cs="仿宋_GB2312"/>
                <w:color w:val="000000"/>
                <w:sz w:val="28"/>
                <w:szCs w:val="28"/>
              </w:rPr>
              <w:t>2</w:t>
            </w:r>
          </w:p>
        </w:tc>
        <w:tc>
          <w:tcPr>
            <w:tcW w:w="5460" w:type="dxa"/>
            <w:tcBorders>
              <w:top w:val="single" w:color="auto" w:sz="4" w:space="0"/>
              <w:left w:val="single" w:color="auto" w:sz="4" w:space="0"/>
              <w:bottom w:val="single" w:color="auto" w:sz="4" w:space="0"/>
              <w:right w:val="single" w:color="auto" w:sz="4" w:space="0"/>
            </w:tcBorders>
            <w:noWrap w:val="0"/>
            <w:vAlign w:val="top"/>
          </w:tcPr>
          <w:p>
            <w:pPr>
              <w:pStyle w:val="6"/>
              <w:spacing w:before="22"/>
              <w:jc w:val="left"/>
              <w:rPr>
                <w:color w:val="000000"/>
                <w:sz w:val="28"/>
                <w:szCs w:val="28"/>
              </w:rPr>
            </w:pPr>
            <w:r>
              <w:rPr>
                <w:rFonts w:hint="eastAsia"/>
                <w:sz w:val="28"/>
              </w:rPr>
              <w:t>班组长与安全生产</w:t>
            </w:r>
          </w:p>
        </w:tc>
        <w:tc>
          <w:tcPr>
            <w:tcW w:w="2111" w:type="dxa"/>
            <w:tcBorders>
              <w:top w:val="single" w:color="auto" w:sz="4" w:space="0"/>
              <w:left w:val="single" w:color="auto" w:sz="4" w:space="0"/>
              <w:bottom w:val="single" w:color="auto" w:sz="4" w:space="0"/>
              <w:right w:val="single" w:color="auto" w:sz="4" w:space="0"/>
            </w:tcBorders>
            <w:noWrap w:val="0"/>
            <w:vAlign w:val="top"/>
          </w:tcPr>
          <w:p>
            <w:pPr>
              <w:pStyle w:val="6"/>
              <w:spacing w:before="36"/>
              <w:ind w:left="400" w:right="390"/>
              <w:rPr>
                <w:color w:val="000000"/>
                <w:sz w:val="28"/>
                <w:szCs w:val="28"/>
              </w:rPr>
            </w:pPr>
            <w:r>
              <w:rPr>
                <w:sz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cs="仿宋_GB2312"/>
                <w:color w:val="000000"/>
                <w:sz w:val="28"/>
                <w:szCs w:val="28"/>
              </w:rPr>
            </w:pPr>
            <w:r>
              <w:rPr>
                <w:rFonts w:ascii="仿宋_GB2312" w:hAnsi="仿宋_GB2312" w:cs="仿宋_GB2312"/>
                <w:color w:val="000000"/>
                <w:sz w:val="28"/>
                <w:szCs w:val="28"/>
              </w:rPr>
              <w:t>3</w:t>
            </w:r>
          </w:p>
        </w:tc>
        <w:tc>
          <w:tcPr>
            <w:tcW w:w="5460" w:type="dxa"/>
            <w:tcBorders>
              <w:top w:val="single" w:color="auto" w:sz="4" w:space="0"/>
              <w:left w:val="single" w:color="auto" w:sz="4" w:space="0"/>
              <w:bottom w:val="single" w:color="auto" w:sz="4" w:space="0"/>
              <w:right w:val="single" w:color="auto" w:sz="4" w:space="0"/>
            </w:tcBorders>
            <w:noWrap w:val="0"/>
            <w:vAlign w:val="top"/>
          </w:tcPr>
          <w:p>
            <w:pPr>
              <w:pStyle w:val="6"/>
              <w:spacing w:before="27"/>
              <w:jc w:val="left"/>
              <w:rPr>
                <w:color w:val="000000"/>
                <w:sz w:val="28"/>
                <w:szCs w:val="28"/>
              </w:rPr>
            </w:pPr>
            <w:r>
              <w:rPr>
                <w:rFonts w:hint="eastAsia"/>
                <w:sz w:val="28"/>
              </w:rPr>
              <w:t>危险化学品安全基础知识</w:t>
            </w:r>
          </w:p>
        </w:tc>
        <w:tc>
          <w:tcPr>
            <w:tcW w:w="2111" w:type="dxa"/>
            <w:tcBorders>
              <w:top w:val="single" w:color="auto" w:sz="4" w:space="0"/>
              <w:left w:val="single" w:color="auto" w:sz="4" w:space="0"/>
              <w:bottom w:val="single" w:color="auto" w:sz="4" w:space="0"/>
              <w:right w:val="single" w:color="auto" w:sz="4" w:space="0"/>
            </w:tcBorders>
            <w:noWrap w:val="0"/>
            <w:vAlign w:val="top"/>
          </w:tcPr>
          <w:p>
            <w:pPr>
              <w:pStyle w:val="6"/>
              <w:spacing w:before="38"/>
              <w:ind w:left="400" w:right="390"/>
              <w:rPr>
                <w:color w:val="000000"/>
                <w:sz w:val="28"/>
                <w:szCs w:val="28"/>
              </w:rPr>
            </w:pPr>
            <w:r>
              <w:rPr>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cs="仿宋_GB2312"/>
                <w:color w:val="000000"/>
                <w:sz w:val="28"/>
                <w:szCs w:val="28"/>
              </w:rPr>
            </w:pPr>
            <w:r>
              <w:rPr>
                <w:rFonts w:ascii="仿宋_GB2312" w:hAnsi="仿宋_GB2312" w:cs="仿宋_GB2312"/>
                <w:color w:val="000000"/>
                <w:sz w:val="28"/>
                <w:szCs w:val="28"/>
              </w:rPr>
              <w:t>4</w:t>
            </w:r>
          </w:p>
        </w:tc>
        <w:tc>
          <w:tcPr>
            <w:tcW w:w="5460" w:type="dxa"/>
            <w:tcBorders>
              <w:top w:val="single" w:color="auto" w:sz="4" w:space="0"/>
              <w:left w:val="single" w:color="auto" w:sz="4" w:space="0"/>
              <w:bottom w:val="single" w:color="auto" w:sz="4" w:space="0"/>
              <w:right w:val="single" w:color="auto" w:sz="4" w:space="0"/>
            </w:tcBorders>
            <w:noWrap w:val="0"/>
            <w:vAlign w:val="top"/>
          </w:tcPr>
          <w:p>
            <w:pPr>
              <w:pStyle w:val="6"/>
              <w:spacing w:before="27"/>
              <w:jc w:val="left"/>
              <w:rPr>
                <w:color w:val="000000"/>
                <w:sz w:val="28"/>
                <w:szCs w:val="28"/>
              </w:rPr>
            </w:pPr>
            <w:r>
              <w:rPr>
                <w:rFonts w:hint="eastAsia"/>
                <w:sz w:val="28"/>
              </w:rPr>
              <w:t>危险化学品安全生产管理与技术</w:t>
            </w:r>
          </w:p>
        </w:tc>
        <w:tc>
          <w:tcPr>
            <w:tcW w:w="2111" w:type="dxa"/>
            <w:tcBorders>
              <w:top w:val="single" w:color="auto" w:sz="4" w:space="0"/>
              <w:left w:val="single" w:color="auto" w:sz="4" w:space="0"/>
              <w:bottom w:val="single" w:color="auto" w:sz="4" w:space="0"/>
              <w:right w:val="single" w:color="auto" w:sz="4" w:space="0"/>
            </w:tcBorders>
            <w:noWrap w:val="0"/>
            <w:vAlign w:val="top"/>
          </w:tcPr>
          <w:p>
            <w:pPr>
              <w:pStyle w:val="6"/>
              <w:spacing w:before="40"/>
              <w:ind w:left="400" w:right="390"/>
              <w:rPr>
                <w:color w:val="000000"/>
                <w:sz w:val="28"/>
                <w:szCs w:val="28"/>
              </w:rPr>
            </w:pPr>
            <w:r>
              <w:rPr>
                <w:sz w:val="2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cs="仿宋_GB2312"/>
                <w:color w:val="000000"/>
                <w:sz w:val="28"/>
                <w:szCs w:val="28"/>
              </w:rPr>
            </w:pPr>
            <w:r>
              <w:rPr>
                <w:rFonts w:ascii="仿宋_GB2312" w:hAnsi="仿宋_GB2312" w:cs="仿宋_GB2312"/>
                <w:color w:val="000000"/>
                <w:sz w:val="28"/>
                <w:szCs w:val="28"/>
              </w:rPr>
              <w:t>5</w:t>
            </w:r>
          </w:p>
        </w:tc>
        <w:tc>
          <w:tcPr>
            <w:tcW w:w="5460" w:type="dxa"/>
            <w:tcBorders>
              <w:top w:val="single" w:color="auto" w:sz="4" w:space="0"/>
              <w:left w:val="single" w:color="auto" w:sz="4" w:space="0"/>
              <w:bottom w:val="single" w:color="auto" w:sz="4" w:space="0"/>
              <w:right w:val="single" w:color="auto" w:sz="4" w:space="0"/>
            </w:tcBorders>
            <w:noWrap w:val="0"/>
            <w:vAlign w:val="top"/>
          </w:tcPr>
          <w:p>
            <w:pPr>
              <w:pStyle w:val="6"/>
              <w:spacing w:before="32"/>
              <w:jc w:val="left"/>
              <w:rPr>
                <w:color w:val="000000"/>
                <w:sz w:val="28"/>
                <w:szCs w:val="28"/>
              </w:rPr>
            </w:pPr>
            <w:r>
              <w:rPr>
                <w:rFonts w:hint="eastAsia"/>
                <w:sz w:val="28"/>
              </w:rPr>
              <w:t>职业危害及防护知识</w:t>
            </w:r>
          </w:p>
        </w:tc>
        <w:tc>
          <w:tcPr>
            <w:tcW w:w="2111" w:type="dxa"/>
            <w:tcBorders>
              <w:top w:val="single" w:color="auto" w:sz="4" w:space="0"/>
              <w:left w:val="single" w:color="auto" w:sz="4" w:space="0"/>
              <w:bottom w:val="single" w:color="auto" w:sz="4" w:space="0"/>
              <w:right w:val="single" w:color="auto" w:sz="4" w:space="0"/>
            </w:tcBorders>
            <w:noWrap w:val="0"/>
            <w:vAlign w:val="top"/>
          </w:tcPr>
          <w:p>
            <w:pPr>
              <w:pStyle w:val="6"/>
              <w:spacing w:before="43"/>
              <w:ind w:left="7"/>
              <w:rPr>
                <w:color w:val="000000"/>
                <w:sz w:val="28"/>
                <w:szCs w:val="28"/>
              </w:rPr>
            </w:pPr>
            <w:r>
              <w:rPr>
                <w:sz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cs="仿宋_GB2312"/>
                <w:color w:val="000000"/>
                <w:sz w:val="28"/>
                <w:szCs w:val="28"/>
              </w:rPr>
            </w:pPr>
            <w:r>
              <w:rPr>
                <w:rFonts w:ascii="仿宋_GB2312" w:hAnsi="仿宋_GB2312" w:cs="仿宋_GB2312"/>
                <w:color w:val="000000"/>
                <w:sz w:val="28"/>
                <w:szCs w:val="28"/>
              </w:rPr>
              <w:t>6</w:t>
            </w:r>
          </w:p>
        </w:tc>
        <w:tc>
          <w:tcPr>
            <w:tcW w:w="5460" w:type="dxa"/>
            <w:tcBorders>
              <w:top w:val="single" w:color="auto" w:sz="4" w:space="0"/>
              <w:left w:val="single" w:color="auto" w:sz="4" w:space="0"/>
              <w:bottom w:val="single" w:color="auto" w:sz="4" w:space="0"/>
              <w:right w:val="single" w:color="auto" w:sz="4" w:space="0"/>
            </w:tcBorders>
            <w:noWrap w:val="0"/>
            <w:vAlign w:val="top"/>
          </w:tcPr>
          <w:p>
            <w:pPr>
              <w:pStyle w:val="6"/>
              <w:spacing w:before="34"/>
              <w:jc w:val="left"/>
              <w:rPr>
                <w:color w:val="000000"/>
                <w:sz w:val="28"/>
                <w:szCs w:val="28"/>
              </w:rPr>
            </w:pPr>
            <w:r>
              <w:rPr>
                <w:rFonts w:hint="eastAsia"/>
                <w:sz w:val="28"/>
              </w:rPr>
              <w:t>典型事故案例</w:t>
            </w:r>
          </w:p>
        </w:tc>
        <w:tc>
          <w:tcPr>
            <w:tcW w:w="2111" w:type="dxa"/>
            <w:tcBorders>
              <w:top w:val="single" w:color="auto" w:sz="4" w:space="0"/>
              <w:left w:val="single" w:color="auto" w:sz="4" w:space="0"/>
              <w:bottom w:val="single" w:color="auto" w:sz="4" w:space="0"/>
              <w:right w:val="single" w:color="auto" w:sz="4" w:space="0"/>
            </w:tcBorders>
            <w:noWrap w:val="0"/>
            <w:vAlign w:val="top"/>
          </w:tcPr>
          <w:p>
            <w:pPr>
              <w:pStyle w:val="6"/>
              <w:spacing w:before="45"/>
              <w:ind w:left="7"/>
              <w:rPr>
                <w:color w:val="000000"/>
                <w:sz w:val="28"/>
                <w:szCs w:val="28"/>
              </w:rPr>
            </w:pPr>
            <w:r>
              <w:rPr>
                <w:sz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cs="仿宋_GB2312"/>
                <w:color w:val="000000"/>
                <w:sz w:val="28"/>
                <w:szCs w:val="28"/>
              </w:rPr>
            </w:pPr>
            <w:r>
              <w:rPr>
                <w:rFonts w:ascii="仿宋_GB2312" w:hAnsi="仿宋_GB2312" w:cs="仿宋_GB2312"/>
                <w:color w:val="000000"/>
                <w:sz w:val="28"/>
                <w:szCs w:val="28"/>
              </w:rPr>
              <w:t>7</w:t>
            </w:r>
          </w:p>
        </w:tc>
        <w:tc>
          <w:tcPr>
            <w:tcW w:w="5460" w:type="dxa"/>
            <w:tcBorders>
              <w:top w:val="single" w:color="auto" w:sz="4" w:space="0"/>
              <w:left w:val="single" w:color="auto" w:sz="4" w:space="0"/>
              <w:bottom w:val="single" w:color="auto" w:sz="4" w:space="0"/>
              <w:right w:val="single" w:color="auto" w:sz="4" w:space="0"/>
            </w:tcBorders>
            <w:noWrap w:val="0"/>
            <w:vAlign w:val="top"/>
          </w:tcPr>
          <w:p>
            <w:pPr>
              <w:pStyle w:val="6"/>
              <w:spacing w:before="22"/>
              <w:jc w:val="left"/>
              <w:rPr>
                <w:color w:val="000000"/>
                <w:sz w:val="28"/>
                <w:szCs w:val="28"/>
              </w:rPr>
            </w:pPr>
            <w:r>
              <w:rPr>
                <w:rFonts w:hint="eastAsia"/>
                <w:sz w:val="28"/>
              </w:rPr>
              <w:t>事故与应急处置</w:t>
            </w:r>
          </w:p>
        </w:tc>
        <w:tc>
          <w:tcPr>
            <w:tcW w:w="2111" w:type="dxa"/>
            <w:tcBorders>
              <w:top w:val="single" w:color="auto" w:sz="4" w:space="0"/>
              <w:left w:val="single" w:color="auto" w:sz="4" w:space="0"/>
              <w:bottom w:val="single" w:color="auto" w:sz="4" w:space="0"/>
              <w:right w:val="single" w:color="auto" w:sz="4" w:space="0"/>
            </w:tcBorders>
            <w:noWrap w:val="0"/>
            <w:vAlign w:val="top"/>
          </w:tcPr>
          <w:p>
            <w:pPr>
              <w:pStyle w:val="6"/>
              <w:spacing w:before="36"/>
              <w:ind w:left="400" w:right="390"/>
              <w:rPr>
                <w:color w:val="000000"/>
                <w:sz w:val="28"/>
                <w:szCs w:val="28"/>
              </w:rPr>
            </w:pPr>
            <w:r>
              <w:rPr>
                <w:sz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cs="仿宋_GB2312"/>
                <w:color w:val="000000"/>
                <w:sz w:val="28"/>
                <w:szCs w:val="28"/>
              </w:rPr>
            </w:pPr>
            <w:r>
              <w:rPr>
                <w:rFonts w:ascii="仿宋_GB2312" w:hAnsi="仿宋_GB2312" w:cs="仿宋_GB2312"/>
                <w:color w:val="000000"/>
                <w:sz w:val="28"/>
                <w:szCs w:val="28"/>
              </w:rPr>
              <w:t>8</w:t>
            </w:r>
          </w:p>
        </w:tc>
        <w:tc>
          <w:tcPr>
            <w:tcW w:w="5460" w:type="dxa"/>
            <w:tcBorders>
              <w:top w:val="single" w:color="auto" w:sz="4" w:space="0"/>
              <w:left w:val="single" w:color="auto" w:sz="4" w:space="0"/>
              <w:bottom w:val="single" w:color="auto" w:sz="4" w:space="0"/>
              <w:right w:val="single" w:color="auto" w:sz="4" w:space="0"/>
            </w:tcBorders>
            <w:noWrap w:val="0"/>
            <w:vAlign w:val="top"/>
          </w:tcPr>
          <w:p>
            <w:pPr>
              <w:pStyle w:val="6"/>
              <w:spacing w:before="22"/>
              <w:jc w:val="left"/>
              <w:rPr>
                <w:color w:val="000000"/>
                <w:sz w:val="28"/>
                <w:szCs w:val="28"/>
              </w:rPr>
            </w:pPr>
            <w:r>
              <w:rPr>
                <w:rFonts w:hint="eastAsia"/>
                <w:sz w:val="28"/>
              </w:rPr>
              <w:t>工伤保险和工伤预防政策相关内容</w:t>
            </w:r>
          </w:p>
        </w:tc>
        <w:tc>
          <w:tcPr>
            <w:tcW w:w="2111" w:type="dxa"/>
            <w:tcBorders>
              <w:top w:val="single" w:color="auto" w:sz="4" w:space="0"/>
              <w:left w:val="single" w:color="auto" w:sz="4" w:space="0"/>
              <w:bottom w:val="single" w:color="auto" w:sz="4" w:space="0"/>
              <w:right w:val="single" w:color="auto" w:sz="4" w:space="0"/>
            </w:tcBorders>
            <w:noWrap w:val="0"/>
            <w:vAlign w:val="top"/>
          </w:tcPr>
          <w:p>
            <w:pPr>
              <w:pStyle w:val="6"/>
              <w:spacing w:before="33"/>
              <w:ind w:left="7"/>
              <w:rPr>
                <w:color w:val="000000"/>
                <w:sz w:val="28"/>
                <w:szCs w:val="28"/>
              </w:rPr>
            </w:pPr>
            <w:r>
              <w:rPr>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cs="仿宋_GB2312"/>
                <w:color w:val="000000"/>
                <w:sz w:val="28"/>
                <w:szCs w:val="28"/>
              </w:rPr>
            </w:pPr>
            <w:r>
              <w:rPr>
                <w:rFonts w:ascii="仿宋_GB2312" w:hAnsi="仿宋_GB2312" w:cs="仿宋_GB2312"/>
                <w:color w:val="000000"/>
                <w:sz w:val="28"/>
                <w:szCs w:val="28"/>
              </w:rPr>
              <w:t>9</w:t>
            </w:r>
          </w:p>
        </w:tc>
        <w:tc>
          <w:tcPr>
            <w:tcW w:w="5460" w:type="dxa"/>
            <w:tcBorders>
              <w:top w:val="single" w:color="auto" w:sz="4" w:space="0"/>
              <w:left w:val="single" w:color="auto" w:sz="4" w:space="0"/>
              <w:bottom w:val="single" w:color="auto" w:sz="4" w:space="0"/>
              <w:right w:val="single" w:color="auto" w:sz="4" w:space="0"/>
            </w:tcBorders>
            <w:noWrap w:val="0"/>
            <w:vAlign w:val="top"/>
          </w:tcPr>
          <w:p>
            <w:pPr>
              <w:pStyle w:val="6"/>
              <w:spacing w:before="31"/>
              <w:jc w:val="left"/>
              <w:rPr>
                <w:color w:val="000000"/>
                <w:sz w:val="28"/>
                <w:szCs w:val="28"/>
              </w:rPr>
            </w:pPr>
            <w:r>
              <w:rPr>
                <w:rFonts w:hint="eastAsia"/>
                <w:sz w:val="28"/>
              </w:rPr>
              <w:t>安全生产法律法规基本知识</w:t>
            </w:r>
          </w:p>
        </w:tc>
        <w:tc>
          <w:tcPr>
            <w:tcW w:w="2111" w:type="dxa"/>
            <w:tcBorders>
              <w:top w:val="single" w:color="auto" w:sz="4" w:space="0"/>
              <w:left w:val="single" w:color="auto" w:sz="4" w:space="0"/>
              <w:bottom w:val="single" w:color="auto" w:sz="4" w:space="0"/>
              <w:right w:val="single" w:color="auto" w:sz="4" w:space="0"/>
            </w:tcBorders>
            <w:noWrap w:val="0"/>
            <w:vAlign w:val="top"/>
          </w:tcPr>
          <w:p>
            <w:pPr>
              <w:pStyle w:val="6"/>
              <w:spacing w:before="45"/>
              <w:ind w:left="7"/>
              <w:rPr>
                <w:color w:val="000000"/>
                <w:sz w:val="28"/>
                <w:szCs w:val="28"/>
              </w:rPr>
            </w:pPr>
            <w:r>
              <w:rPr>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1" w:type="dxa"/>
            <w:gridSpan w:val="2"/>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cs="仿宋_GB2312"/>
                <w:color w:val="000000"/>
                <w:sz w:val="28"/>
                <w:szCs w:val="28"/>
              </w:rPr>
            </w:pPr>
            <w:r>
              <w:rPr>
                <w:rFonts w:hint="eastAsia" w:ascii="仿宋_GB2312" w:hAnsi="仿宋_GB2312" w:cs="仿宋_GB2312"/>
                <w:color w:val="000000"/>
                <w:sz w:val="28"/>
                <w:szCs w:val="28"/>
              </w:rPr>
              <w:t>合计</w:t>
            </w:r>
          </w:p>
        </w:tc>
        <w:tc>
          <w:tcPr>
            <w:tcW w:w="2111" w:type="dxa"/>
            <w:tcBorders>
              <w:top w:val="single" w:color="auto" w:sz="4" w:space="0"/>
              <w:left w:val="single" w:color="auto" w:sz="4" w:space="0"/>
              <w:bottom w:val="single" w:color="auto" w:sz="4" w:space="0"/>
              <w:right w:val="single" w:color="auto" w:sz="4" w:space="0"/>
            </w:tcBorders>
            <w:noWrap w:val="0"/>
            <w:vAlign w:val="top"/>
          </w:tcPr>
          <w:p>
            <w:pPr>
              <w:pStyle w:val="6"/>
              <w:spacing w:before="0"/>
              <w:ind w:left="252" w:right="247"/>
              <w:rPr>
                <w:color w:val="000000"/>
                <w:sz w:val="28"/>
                <w:szCs w:val="28"/>
              </w:rPr>
            </w:pPr>
            <w:r>
              <w:rPr>
                <w:sz w:val="28"/>
              </w:rPr>
              <w:t>72</w:t>
            </w:r>
          </w:p>
        </w:tc>
      </w:tr>
    </w:tbl>
    <w:p>
      <w:pPr>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4 考核要点</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4.1 了解法律法规标准体系要求及从业人员权利和义务；了解社会保险法、《工伤保险条例》等政策法规以及工伤预防的有关要求；了解《刑法》有关安全生产的规定。</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4.2 熟悉全员安全生产责任制的含义及执行。</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4.3 熟悉班组长在安全生产中的作用、素养要求；掌握班组建设及交接班管理；熟悉员工技能提升要求。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4.4 了解危险化学品基础知识。</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4.5 了解化工安全基础知识。</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4.6 掌握化工工艺技术及设备、电气、仪表基础知识。</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4.7 掌握危险化学品储存安全知识。</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4.8 了解风险管理基本知识；掌握风险管控与隐患排查基本知识，隐患排查要求及方法；掌握重大危险源管理要求。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4.9 掌握特种设备、安全附件、电气、仪表的使用及维护。</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4.10 掌握变更管理要求。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4.11 掌握特殊作业的现场管理要求和能量隔离的方法。</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4.12 掌握现场安全管理；掌握违章行为控制的方法。</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4.13 掌握工艺报警的管理要求。</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4.14 熟悉职业危害因素及防护知识。</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4.15 熟悉事故现场的应急处置要求；熟悉应急救援要求；掌握事故现场自救与互救技能。</w:t>
      </w:r>
    </w:p>
    <w:p>
      <w:pPr>
        <w:spacing w:line="600" w:lineRule="exact"/>
        <w:ind w:firstLine="640" w:firstLineChars="200"/>
        <w:rPr>
          <w:rFonts w:hint="eastAsia" w:ascii="仿宋_GB2312" w:eastAsia="仿宋_GB2312" w:cs="仿宋_GB2312"/>
          <w:color w:val="000000"/>
          <w:sz w:val="32"/>
          <w:szCs w:val="32"/>
        </w:rPr>
      </w:pPr>
      <w:r>
        <w:rPr>
          <w:rFonts w:hint="eastAsia" w:ascii="仿宋_GB2312" w:hAnsi="仿宋_GB2312" w:eastAsia="仿宋_GB2312" w:cs="仿宋_GB2312"/>
          <w:color w:val="000000"/>
          <w:sz w:val="32"/>
          <w:szCs w:val="32"/>
        </w:rPr>
        <w:t>4.16 了解消、气防设备设施的选用、维护管理要求；掌握个体防护用品的选用、维护管理要求。</w:t>
      </w:r>
    </w:p>
    <w:p>
      <w:pPr>
        <w:spacing w:line="600" w:lineRule="exact"/>
        <w:ind w:firstLine="640" w:firstLineChars="200"/>
        <w:rPr>
          <w:rFonts w:hint="eastAsia" w:ascii="仿宋_GB2312" w:eastAsia="仿宋_GB2312" w:cs="仿宋_GB2312"/>
          <w:color w:val="000000"/>
          <w:sz w:val="32"/>
          <w:szCs w:val="32"/>
        </w:rPr>
        <w:sectPr>
          <w:pgSz w:w="11906" w:h="16838"/>
          <w:pgMar w:top="2098" w:right="1474" w:bottom="1985" w:left="1588" w:header="851" w:footer="1701" w:gutter="0"/>
          <w:cols w:space="720" w:num="1"/>
          <w:docGrid w:type="linesAndChars" w:linePitch="312" w:charSpace="0"/>
        </w:sectPr>
      </w:pPr>
      <w:r>
        <w:rPr>
          <w:rFonts w:hint="eastAsia" w:ascii="仿宋_GB2312" w:hAnsi="仿宋_GB2312" w:eastAsia="仿宋_GB2312" w:cs="仿宋_GB2312"/>
          <w:color w:val="000000"/>
          <w:sz w:val="32"/>
          <w:szCs w:val="32"/>
        </w:rPr>
        <w:t>4.17 了解典型事故案例。</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783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qFormat/>
    <w:uiPriority w:val="0"/>
    <w:rPr>
      <w:rFonts w:cs="Times New Roman"/>
    </w:rPr>
  </w:style>
  <w:style w:type="paragraph" w:customStyle="1" w:styleId="6">
    <w:name w:val="Table Paragraph"/>
    <w:basedOn w:val="1"/>
    <w:qFormat/>
    <w:uiPriority w:val="0"/>
    <w:pPr>
      <w:spacing w:before="14"/>
      <w:ind w:left="107"/>
      <w:jc w:val="center"/>
    </w:pPr>
    <w:rPr>
      <w:rFonts w:ascii="仿宋_GB2312" w:hAnsi="仿宋_GB2312" w:eastAsia="仿宋_GB2312" w:cs="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2022-04-20T02:17:13Z</dcterms:created>
  <dc:creator>Administrator</dc:creator>
  <cp:lastModifiedBy>Administrator</cp:lastModifiedBy>
  <dcterms:modified xsi:type="dcterms:W3CDTF">2022-04-20T02:17:18Z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4F2F5EF01B904AACAF70399F5A48FFAB</vt:lpwstr>
  </property>
</Properties>
</file>