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eastAsia="方正黑体简体"/>
          <w:color w:val="000000"/>
          <w:spacing w:val="-20"/>
          <w:szCs w:val="32"/>
        </w:rPr>
      </w:pPr>
      <w:r>
        <w:rPr>
          <w:rFonts w:eastAsia="方正黑体简体"/>
          <w:color w:val="000000"/>
          <w:spacing w:val="-20"/>
          <w:szCs w:val="32"/>
        </w:rPr>
        <w:t>附件</w:t>
      </w:r>
      <w:r>
        <w:rPr>
          <w:rFonts w:hint="default" w:eastAsia="方正黑体简体"/>
          <w:color w:val="000000"/>
          <w:spacing w:val="-20"/>
          <w:sz w:val="32"/>
          <w:szCs w:val="32"/>
        </w:rPr>
        <w:t>1</w:t>
      </w:r>
    </w:p>
    <w:p>
      <w:pPr>
        <w:spacing w:line="570" w:lineRule="exact"/>
        <w:rPr>
          <w:rFonts w:hint="default" w:eastAsia="方正黑体简体"/>
          <w:color w:val="000000"/>
          <w:spacing w:val="-20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泉州市职业技能提升行动培训计划</w:t>
      </w:r>
      <w:r>
        <w:rPr>
          <w:rFonts w:hint="eastAsia" w:eastAsia="方正小标宋简体"/>
          <w:color w:val="000000"/>
          <w:sz w:val="44"/>
          <w:szCs w:val="44"/>
        </w:rPr>
        <w:t>任务分解</w:t>
      </w:r>
      <w:r>
        <w:rPr>
          <w:rFonts w:eastAsia="方正小标宋简体"/>
          <w:color w:val="000000"/>
          <w:sz w:val="44"/>
          <w:szCs w:val="44"/>
        </w:rPr>
        <w:t>表</w:t>
      </w:r>
    </w:p>
    <w:p>
      <w:pPr>
        <w:spacing w:line="570" w:lineRule="exact"/>
        <w:ind w:firstLine="3360" w:firstLineChars="1200"/>
        <w:rPr>
          <w:rFonts w:hint="eastAsia" w:ascii="方正楷体简体" w:hAnsi="楷体" w:eastAsia="方正楷体简体" w:cs="楷体"/>
          <w:color w:val="000000"/>
          <w:spacing w:val="-20"/>
          <w:szCs w:val="32"/>
        </w:rPr>
      </w:pPr>
      <w:r>
        <w:rPr>
          <w:rFonts w:hint="eastAsia" w:ascii="方正楷体简体" w:hAnsi="楷体" w:eastAsia="方正楷体简体" w:cs="楷体"/>
          <w:color w:val="000000"/>
          <w:spacing w:val="-20"/>
          <w:szCs w:val="32"/>
        </w:rPr>
        <w:t>（各县（市、区））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958"/>
        <w:gridCol w:w="177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tblHeader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632"/>
              </w:tabs>
              <w:spacing w:line="440" w:lineRule="exact"/>
              <w:jc w:val="center"/>
              <w:rPr>
                <w:rFonts w:eastAsia="方正黑体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bCs/>
                <w:color w:val="000000"/>
                <w:sz w:val="28"/>
                <w:szCs w:val="28"/>
              </w:rPr>
              <w:t>县（市、区）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bCs/>
                <w:color w:val="000000"/>
                <w:sz w:val="28"/>
                <w:szCs w:val="28"/>
              </w:rPr>
              <w:t>2019年计划</w:t>
            </w:r>
          </w:p>
          <w:p>
            <w:pPr>
              <w:spacing w:line="440" w:lineRule="exact"/>
              <w:jc w:val="center"/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黑体简体"/>
                <w:bCs/>
                <w:color w:val="000000"/>
                <w:sz w:val="28"/>
                <w:szCs w:val="28"/>
              </w:rPr>
              <w:t>培训（人次）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黑体简体"/>
                <w:bCs/>
                <w:color w:val="000000"/>
                <w:sz w:val="28"/>
                <w:szCs w:val="28"/>
              </w:rPr>
              <w:t>2020年计划培训（人次）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  <w:t>2021年计划</w:t>
            </w:r>
          </w:p>
          <w:p>
            <w:pPr>
              <w:widowControl/>
              <w:spacing w:line="440" w:lineRule="exact"/>
              <w:jc w:val="center"/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pacing w:val="-20"/>
                <w:kern w:val="0"/>
                <w:sz w:val="28"/>
                <w:szCs w:val="28"/>
              </w:rPr>
              <w:t>培训（人次）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鲤城区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丰泽区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洛江区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泉港区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石狮市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晋江市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南安市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惠安县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安溪县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永春县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德化县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hint="default" w:hAnsi="Times New Roman" w:eastAsia="方正仿宋简体"/>
                <w:b/>
                <w:bCs/>
                <w:color w:val="000000"/>
                <w:sz w:val="24"/>
              </w:rPr>
              <w:t>泉州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开发区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泉州台商</w:t>
            </w:r>
            <w:r>
              <w:rPr>
                <w:rFonts w:hint="default" w:hAnsi="Times New Roman" w:eastAsia="方正仿宋简体"/>
                <w:b/>
                <w:bCs/>
                <w:color w:val="000000"/>
                <w:sz w:val="24"/>
              </w:rPr>
              <w:t>投资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区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46000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46000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46000</w:t>
            </w:r>
          </w:p>
        </w:tc>
      </w:tr>
    </w:tbl>
    <w:p>
      <w:pPr>
        <w:spacing w:line="560" w:lineRule="exact"/>
        <w:rPr>
          <w:color w:val="00000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985" w:left="1474" w:header="851" w:footer="1418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2021-01-22T03:42:39Z</dcterms:created>
  <dc:creator>Administrator</dc:creator>
  <cp:lastModifiedBy>Administrator</cp:lastModifiedBy>
  <dcterms:modified xsi:type="dcterms:W3CDTF">2021-01-22T03:42:46Z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